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0" w:type="dxa"/>
        <w:tblLook w:val="04A0" w:firstRow="1" w:lastRow="0" w:firstColumn="1" w:lastColumn="0" w:noHBand="0" w:noVBand="1"/>
      </w:tblPr>
      <w:tblGrid>
        <w:gridCol w:w="9160"/>
      </w:tblGrid>
      <w:tr w:rsidR="00A109F1" w:rsidRPr="00A109F1" w14:paraId="72303B8F" w14:textId="77777777" w:rsidTr="00A109F1">
        <w:trPr>
          <w:trHeight w:val="454"/>
        </w:trPr>
        <w:tc>
          <w:tcPr>
            <w:tcW w:w="9160" w:type="dxa"/>
            <w:shd w:val="clear" w:color="auto" w:fill="auto"/>
            <w:vAlign w:val="center"/>
            <w:hideMark/>
          </w:tcPr>
          <w:p w14:paraId="17F37730" w14:textId="6FD98A9D" w:rsidR="00A109F1" w:rsidRPr="00AE7726" w:rsidRDefault="00AE7726" w:rsidP="00A109F1">
            <w:pPr>
              <w:spacing w:after="0" w:line="240" w:lineRule="auto"/>
              <w:jc w:val="center"/>
              <w:rPr>
                <w:rFonts w:eastAsia="Times New Roman" w:cstheme="minorHAnsi"/>
                <w:b/>
                <w:bCs/>
                <w:color w:val="000000" w:themeColor="text1"/>
                <w:sz w:val="26"/>
                <w:szCs w:val="26"/>
                <w:lang w:eastAsia="hr-HR"/>
              </w:rPr>
            </w:pPr>
            <w:r>
              <w:rPr>
                <w:rFonts w:eastAsia="Times New Roman" w:cstheme="minorHAnsi"/>
                <w:b/>
                <w:bCs/>
                <w:color w:val="000000" w:themeColor="text1"/>
                <w:sz w:val="26"/>
                <w:szCs w:val="26"/>
                <w:lang w:eastAsia="hr-HR"/>
              </w:rPr>
              <w:t>OSNOVNA ŠKOLA LJUDEVITA MODECA</w:t>
            </w:r>
          </w:p>
        </w:tc>
      </w:tr>
      <w:tr w:rsidR="00A109F1" w:rsidRPr="00A109F1" w14:paraId="5A41FF54" w14:textId="77777777" w:rsidTr="00A109F1">
        <w:trPr>
          <w:trHeight w:val="454"/>
        </w:trPr>
        <w:tc>
          <w:tcPr>
            <w:tcW w:w="9160" w:type="dxa"/>
            <w:shd w:val="clear" w:color="auto" w:fill="auto"/>
            <w:vAlign w:val="center"/>
            <w:hideMark/>
          </w:tcPr>
          <w:p w14:paraId="3F69D5F5" w14:textId="0174F74D" w:rsidR="00A109F1" w:rsidRPr="004479EE" w:rsidRDefault="00A1567B" w:rsidP="00A109F1">
            <w:pPr>
              <w:spacing w:after="0" w:line="240" w:lineRule="auto"/>
              <w:jc w:val="center"/>
              <w:rPr>
                <w:rFonts w:eastAsia="Times New Roman" w:cstheme="minorHAnsi"/>
                <w:b/>
                <w:bCs/>
                <w:sz w:val="26"/>
                <w:szCs w:val="26"/>
                <w:lang w:eastAsia="hr-HR"/>
              </w:rPr>
            </w:pPr>
            <w:r>
              <w:rPr>
                <w:rFonts w:eastAsia="Times New Roman" w:cstheme="minorHAnsi"/>
                <w:b/>
                <w:bCs/>
                <w:sz w:val="26"/>
                <w:szCs w:val="26"/>
                <w:lang w:eastAsia="hr-HR"/>
              </w:rPr>
              <w:t>Financijski plan za 202</w:t>
            </w:r>
            <w:r w:rsidR="00D96F91">
              <w:rPr>
                <w:rFonts w:eastAsia="Times New Roman" w:cstheme="minorHAnsi"/>
                <w:b/>
                <w:bCs/>
                <w:sz w:val="26"/>
                <w:szCs w:val="26"/>
                <w:lang w:eastAsia="hr-HR"/>
              </w:rPr>
              <w:t>3</w:t>
            </w:r>
            <w:r>
              <w:rPr>
                <w:rFonts w:eastAsia="Times New Roman" w:cstheme="minorHAnsi"/>
                <w:b/>
                <w:bCs/>
                <w:sz w:val="26"/>
                <w:szCs w:val="26"/>
                <w:lang w:eastAsia="hr-HR"/>
              </w:rPr>
              <w:t>. godinu i projekcije za 202</w:t>
            </w:r>
            <w:r w:rsidR="00D96F91">
              <w:rPr>
                <w:rFonts w:eastAsia="Times New Roman" w:cstheme="minorHAnsi"/>
                <w:b/>
                <w:bCs/>
                <w:sz w:val="26"/>
                <w:szCs w:val="26"/>
                <w:lang w:eastAsia="hr-HR"/>
              </w:rPr>
              <w:t>4</w:t>
            </w:r>
            <w:r>
              <w:rPr>
                <w:rFonts w:eastAsia="Times New Roman" w:cstheme="minorHAnsi"/>
                <w:b/>
                <w:bCs/>
                <w:sz w:val="26"/>
                <w:szCs w:val="26"/>
                <w:lang w:eastAsia="hr-HR"/>
              </w:rPr>
              <w:t>. i 202</w:t>
            </w:r>
            <w:r w:rsidR="00D96F91">
              <w:rPr>
                <w:rFonts w:eastAsia="Times New Roman" w:cstheme="minorHAnsi"/>
                <w:b/>
                <w:bCs/>
                <w:sz w:val="26"/>
                <w:szCs w:val="26"/>
                <w:lang w:eastAsia="hr-HR"/>
              </w:rPr>
              <w:t>5</w:t>
            </w:r>
            <w:r w:rsidR="00A109F1" w:rsidRPr="004479EE">
              <w:rPr>
                <w:rFonts w:eastAsia="Times New Roman" w:cstheme="minorHAnsi"/>
                <w:b/>
                <w:bCs/>
                <w:sz w:val="26"/>
                <w:szCs w:val="26"/>
                <w:lang w:eastAsia="hr-HR"/>
              </w:rPr>
              <w:t>. godinu</w:t>
            </w:r>
          </w:p>
        </w:tc>
      </w:tr>
      <w:tr w:rsidR="00A109F1" w:rsidRPr="00A109F1" w14:paraId="14D25BCA" w14:textId="77777777" w:rsidTr="00A109F1">
        <w:trPr>
          <w:trHeight w:val="454"/>
        </w:trPr>
        <w:tc>
          <w:tcPr>
            <w:tcW w:w="9160" w:type="dxa"/>
            <w:shd w:val="clear" w:color="auto" w:fill="auto"/>
            <w:noWrap/>
            <w:vAlign w:val="center"/>
            <w:hideMark/>
          </w:tcPr>
          <w:p w14:paraId="30ED25DD" w14:textId="77777777" w:rsidR="00A109F1" w:rsidRPr="004479EE" w:rsidRDefault="00A109F1" w:rsidP="00A109F1">
            <w:pPr>
              <w:spacing w:after="0" w:line="240" w:lineRule="auto"/>
              <w:jc w:val="center"/>
              <w:rPr>
                <w:rFonts w:eastAsia="Times New Roman" w:cstheme="minorHAnsi"/>
                <w:b/>
                <w:bCs/>
                <w:color w:val="7030A0"/>
                <w:sz w:val="26"/>
                <w:szCs w:val="26"/>
                <w:lang w:eastAsia="hr-HR"/>
              </w:rPr>
            </w:pPr>
            <w:r w:rsidRPr="004479EE">
              <w:rPr>
                <w:rFonts w:eastAsia="Times New Roman" w:cstheme="minorHAnsi"/>
                <w:b/>
                <w:bCs/>
                <w:sz w:val="26"/>
                <w:szCs w:val="26"/>
                <w:lang w:eastAsia="hr-HR"/>
              </w:rPr>
              <w:t>OBRAZLOŽENJE</w:t>
            </w:r>
          </w:p>
        </w:tc>
      </w:tr>
    </w:tbl>
    <w:p w14:paraId="65181951" w14:textId="77777777" w:rsidR="009F19A0" w:rsidRPr="00A109F1" w:rsidRDefault="009F19A0"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7ABA8521" w14:textId="77777777" w:rsidTr="00E92F21">
        <w:trPr>
          <w:trHeight w:val="499"/>
        </w:trPr>
        <w:tc>
          <w:tcPr>
            <w:tcW w:w="91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901675"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1. Sažetak djelokruga rada proračunskog korisnika</w:t>
            </w:r>
          </w:p>
        </w:tc>
      </w:tr>
      <w:tr w:rsidR="00A109F1" w:rsidRPr="00A109F1" w14:paraId="6600425B" w14:textId="77777777" w:rsidTr="00A109F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24224" w14:textId="42EF07EB" w:rsidR="00A109F1" w:rsidRPr="004479EE" w:rsidRDefault="00A109F1" w:rsidP="00A109F1">
            <w:pPr>
              <w:spacing w:after="0" w:line="240" w:lineRule="auto"/>
              <w:rPr>
                <w:rFonts w:eastAsia="Times New Roman" w:cstheme="minorHAnsi"/>
                <w:lang w:eastAsia="hr-HR"/>
              </w:rPr>
            </w:pPr>
            <w:r w:rsidRPr="004479EE">
              <w:rPr>
                <w:rFonts w:eastAsia="Times New Roman" w:cstheme="minorHAnsi"/>
                <w:lang w:eastAsia="hr-HR"/>
              </w:rPr>
              <w:t> </w:t>
            </w:r>
            <w:r w:rsidR="003B1F03" w:rsidRPr="003B1F03">
              <w:rPr>
                <w:rFonts w:eastAsia="Times New Roman" w:cstheme="minorHAnsi"/>
                <w:lang w:eastAsia="hr-HR"/>
              </w:rPr>
              <w:t>Osnovna škola Ljudevita Modeca javna je ustanova koja se bavi odgojno- obrazovnom djelatnošću djece od 6 do 15 godina. Nacionalni kurikulum i  Okvirni godišnji izvedbeni kurikulum osnovni su dokumenti po kojima se radi i u spomenutim dokumentima navedene su pojedinosti rada Škole te pokazatelji kako učenici, učitelji i stručni suradnici ostvaruju veće ili manje projekte i programe u kojima se bolje upoznaje svoj uži i širi zavičaj, ali u kojima se ostvaruje i suradnja s kulturnim i vjerskim institucijama, sportskim udrugama i udrugama građana, drugim školama i gospodarstvenicima.</w:t>
            </w:r>
          </w:p>
        </w:tc>
      </w:tr>
    </w:tbl>
    <w:p w14:paraId="32FE90C0" w14:textId="77777777" w:rsidR="00A109F1" w:rsidRPr="00A109F1" w:rsidRDefault="00A109F1" w:rsidP="00A109F1">
      <w:pPr>
        <w:spacing w:after="0" w:line="240" w:lineRule="auto"/>
        <w:rPr>
          <w:rFonts w:cstheme="minorHAnsi"/>
        </w:rPr>
      </w:pPr>
    </w:p>
    <w:p w14:paraId="6B03DA9B"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5B735432" w14:textId="77777777" w:rsidTr="00E92F21">
        <w:trPr>
          <w:trHeight w:val="499"/>
        </w:trPr>
        <w:tc>
          <w:tcPr>
            <w:tcW w:w="91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DE669BE"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2. Obrazloženje programa</w:t>
            </w:r>
          </w:p>
        </w:tc>
      </w:tr>
      <w:tr w:rsidR="00A109F1" w:rsidRPr="00A109F1" w14:paraId="16F1EE71" w14:textId="77777777" w:rsidTr="00A109F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1EAE" w14:textId="20477A74" w:rsidR="00D96F91" w:rsidRPr="003B1F03" w:rsidRDefault="00A109F1" w:rsidP="00D96F91">
            <w:pPr>
              <w:spacing w:after="0" w:line="240" w:lineRule="auto"/>
              <w:rPr>
                <w:rFonts w:eastAsia="Times New Roman" w:cstheme="minorHAnsi"/>
                <w:lang w:eastAsia="hr-HR"/>
              </w:rPr>
            </w:pPr>
            <w:r w:rsidRPr="004479EE">
              <w:rPr>
                <w:rFonts w:eastAsia="Times New Roman" w:cstheme="minorHAnsi"/>
                <w:lang w:eastAsia="hr-HR"/>
              </w:rPr>
              <w:t> </w:t>
            </w:r>
          </w:p>
          <w:p w14:paraId="6C17FE54" w14:textId="481FEF45" w:rsidR="00A1636E" w:rsidRPr="00A1636E" w:rsidRDefault="003B1F03" w:rsidP="00A1636E">
            <w:pPr>
              <w:spacing w:after="0" w:line="240" w:lineRule="auto"/>
              <w:rPr>
                <w:rFonts w:eastAsia="Times New Roman" w:cstheme="minorHAnsi"/>
                <w:lang w:eastAsia="hr-HR"/>
              </w:rPr>
            </w:pPr>
            <w:r w:rsidRPr="003B1F03">
              <w:rPr>
                <w:rFonts w:eastAsia="Times New Roman" w:cstheme="minorHAnsi"/>
                <w:lang w:eastAsia="hr-HR"/>
              </w:rPr>
              <w:t xml:space="preserve"> </w:t>
            </w:r>
            <w:r w:rsidR="00A1636E" w:rsidRPr="00A1636E">
              <w:rPr>
                <w:rFonts w:eastAsia="Times New Roman" w:cstheme="minorHAnsi"/>
                <w:lang w:eastAsia="hr-HR"/>
              </w:rPr>
              <w:t>Uz održavanje redovne, dodatne, dopunske i izborne nastave u 4</w:t>
            </w:r>
            <w:r w:rsidR="00857B37">
              <w:rPr>
                <w:rFonts w:eastAsia="Times New Roman" w:cstheme="minorHAnsi"/>
                <w:lang w:eastAsia="hr-HR"/>
              </w:rPr>
              <w:t>4</w:t>
            </w:r>
            <w:r w:rsidR="00A1636E" w:rsidRPr="00A1636E">
              <w:rPr>
                <w:rFonts w:eastAsia="Times New Roman" w:cstheme="minorHAnsi"/>
                <w:lang w:eastAsia="hr-HR"/>
              </w:rPr>
              <w:t xml:space="preserve"> razrednih odjeljenja </w:t>
            </w:r>
            <w:r w:rsidR="00064992">
              <w:rPr>
                <w:rFonts w:eastAsia="Times New Roman" w:cstheme="minorHAnsi"/>
                <w:lang w:eastAsia="hr-HR"/>
              </w:rPr>
              <w:t>u</w:t>
            </w:r>
            <w:r w:rsidR="00A1636E" w:rsidRPr="00A1636E">
              <w:rPr>
                <w:rFonts w:eastAsia="Times New Roman" w:cstheme="minorHAnsi"/>
                <w:lang w:eastAsia="hr-HR"/>
              </w:rPr>
              <w:t>čenici su pod vodstvom svojih mentora sudjelovali na brojnim općinskim, županijskim i državnim natjecanjima. Škola je bila domaćin županijskim natjecanjima iz fizike, povijesti, u košarci, odbojci, sportskom plesu, 65. Glazbenim svečanostima hrvatske mladeži te mnogim natjecanjima na općinskoj razini.</w:t>
            </w:r>
          </w:p>
          <w:p w14:paraId="6F84C749" w14:textId="3466AE93" w:rsidR="00A1636E" w:rsidRPr="00A1636E" w:rsidRDefault="00A1636E" w:rsidP="00A1636E">
            <w:pPr>
              <w:spacing w:after="0" w:line="240" w:lineRule="auto"/>
              <w:rPr>
                <w:rFonts w:eastAsia="Times New Roman" w:cstheme="minorHAnsi"/>
                <w:lang w:eastAsia="hr-HR"/>
              </w:rPr>
            </w:pPr>
            <w:r w:rsidRPr="00A1636E">
              <w:rPr>
                <w:rFonts w:eastAsia="Times New Roman" w:cstheme="minorHAnsi"/>
                <w:lang w:eastAsia="hr-HR"/>
              </w:rPr>
              <w:t xml:space="preserve">Učenici i djelatnici od projekata na nacionalnoj razini organizirali su i sudjelovali </w:t>
            </w:r>
            <w:r w:rsidR="00AF5777">
              <w:rPr>
                <w:rFonts w:eastAsia="Times New Roman" w:cstheme="minorHAnsi"/>
                <w:lang w:eastAsia="hr-HR"/>
              </w:rPr>
              <w:t xml:space="preserve">na </w:t>
            </w:r>
            <w:r w:rsidRPr="00A1636E">
              <w:rPr>
                <w:rFonts w:eastAsia="Times New Roman" w:cstheme="minorHAnsi"/>
                <w:lang w:eastAsia="hr-HR"/>
              </w:rPr>
              <w:t xml:space="preserve">11.  Susretu hrvatskoga dječjega duhovnoga stvaralaštva „Stjepan Kranjčić”, </w:t>
            </w:r>
            <w:r w:rsidR="00064992">
              <w:rPr>
                <w:rFonts w:eastAsia="Times New Roman" w:cstheme="minorHAnsi"/>
                <w:lang w:eastAsia="hr-HR"/>
              </w:rPr>
              <w:t>n</w:t>
            </w:r>
            <w:r w:rsidRPr="00A1636E">
              <w:rPr>
                <w:rFonts w:eastAsia="Times New Roman" w:cstheme="minorHAnsi"/>
                <w:lang w:eastAsia="hr-HR"/>
              </w:rPr>
              <w:t>atjecanju GlagoMatika</w:t>
            </w:r>
            <w:r w:rsidR="00277723">
              <w:rPr>
                <w:rFonts w:eastAsia="Times New Roman" w:cstheme="minorHAnsi"/>
                <w:lang w:eastAsia="hr-HR"/>
              </w:rPr>
              <w:t>,</w:t>
            </w:r>
          </w:p>
          <w:p w14:paraId="53DE3594" w14:textId="4D4D3E80" w:rsidR="00A1636E" w:rsidRPr="00A1636E" w:rsidRDefault="00A1636E" w:rsidP="00A1636E">
            <w:pPr>
              <w:spacing w:after="0" w:line="240" w:lineRule="auto"/>
              <w:rPr>
                <w:rFonts w:eastAsia="Times New Roman" w:cstheme="minorHAnsi"/>
                <w:lang w:eastAsia="hr-HR"/>
              </w:rPr>
            </w:pPr>
            <w:r w:rsidRPr="00A1636E">
              <w:rPr>
                <w:rFonts w:eastAsia="Times New Roman" w:cstheme="minorHAnsi"/>
                <w:lang w:eastAsia="hr-HR"/>
              </w:rPr>
              <w:t xml:space="preserve">Pomozimo jedni drugima IV – pomoćnici u nastavi, </w:t>
            </w:r>
            <w:r w:rsidR="005735D6">
              <w:rPr>
                <w:rFonts w:eastAsia="Times New Roman" w:cstheme="minorHAnsi"/>
                <w:lang w:eastAsia="hr-HR"/>
              </w:rPr>
              <w:t>Školskoj shemi-nabava voća i mlijeka</w:t>
            </w:r>
            <w:r w:rsidRPr="00A1636E">
              <w:rPr>
                <w:rFonts w:eastAsia="Times New Roman" w:cstheme="minorHAnsi"/>
                <w:lang w:eastAsia="hr-HR"/>
              </w:rPr>
              <w:t>.</w:t>
            </w:r>
          </w:p>
          <w:p w14:paraId="0EBA4490" w14:textId="4FB5D2DB" w:rsidR="00A1636E" w:rsidRPr="00A1636E" w:rsidRDefault="00A1636E" w:rsidP="00A1636E">
            <w:pPr>
              <w:spacing w:after="0" w:line="240" w:lineRule="auto"/>
              <w:rPr>
                <w:rFonts w:eastAsia="Times New Roman" w:cstheme="minorHAnsi"/>
                <w:lang w:eastAsia="hr-HR"/>
              </w:rPr>
            </w:pPr>
            <w:r w:rsidRPr="00A1636E">
              <w:rPr>
                <w:rFonts w:eastAsia="Times New Roman" w:cstheme="minorHAnsi"/>
                <w:lang w:eastAsia="hr-HR"/>
              </w:rPr>
              <w:t>Priredb</w:t>
            </w:r>
            <w:r w:rsidR="005735D6">
              <w:rPr>
                <w:rFonts w:eastAsia="Times New Roman" w:cstheme="minorHAnsi"/>
                <w:lang w:eastAsia="hr-HR"/>
              </w:rPr>
              <w:t>e</w:t>
            </w:r>
            <w:r w:rsidRPr="00A1636E">
              <w:rPr>
                <w:rFonts w:eastAsia="Times New Roman" w:cstheme="minorHAnsi"/>
                <w:lang w:eastAsia="hr-HR"/>
              </w:rPr>
              <w:t xml:space="preserve"> koje su organizirane u izvještajnom razdoblju su: Dan škole –izložba u Gradskoj knjižnici „Franjo Marković“, </w:t>
            </w:r>
            <w:r w:rsidR="005735D6">
              <w:rPr>
                <w:rFonts w:eastAsia="Times New Roman" w:cstheme="minorHAnsi"/>
                <w:lang w:eastAsia="hr-HR"/>
              </w:rPr>
              <w:t>k</w:t>
            </w:r>
            <w:r w:rsidRPr="00A1636E">
              <w:rPr>
                <w:rFonts w:eastAsia="Times New Roman" w:cstheme="minorHAnsi"/>
                <w:lang w:eastAsia="hr-HR"/>
              </w:rPr>
              <w:t xml:space="preserve">azališna predstava za javnost u povodu „500 ljeta Judite”. </w:t>
            </w:r>
          </w:p>
          <w:p w14:paraId="7271E883" w14:textId="0B2A08B9" w:rsidR="00A109F1" w:rsidRPr="004479EE" w:rsidRDefault="00A1636E" w:rsidP="00A1636E">
            <w:pPr>
              <w:spacing w:after="0" w:line="240" w:lineRule="auto"/>
              <w:rPr>
                <w:rFonts w:eastAsia="Times New Roman" w:cstheme="minorHAnsi"/>
                <w:lang w:eastAsia="hr-HR"/>
              </w:rPr>
            </w:pPr>
            <w:r w:rsidRPr="00A1636E">
              <w:rPr>
                <w:rFonts w:eastAsia="Times New Roman" w:cstheme="minorHAnsi"/>
                <w:lang w:eastAsia="hr-HR"/>
              </w:rPr>
              <w:t>Učenici i djelatnici su se uključili u aktivnosti koje je organizirao Grad i udruge s područja grada Križevaca (izložba pisanica, Đurđevo pod lipom, Dan muzeja, Dan grada, Dječje Spravišće, suradnja s Klubom žena s bolestima dojke „Agata”</w:t>
            </w:r>
            <w:r w:rsidR="009A3F4E">
              <w:rPr>
                <w:rFonts w:eastAsia="Times New Roman" w:cstheme="minorHAnsi"/>
                <w:lang w:eastAsia="hr-HR"/>
              </w:rPr>
              <w:t xml:space="preserve">, </w:t>
            </w:r>
            <w:r w:rsidRPr="00A1636E">
              <w:rPr>
                <w:rFonts w:eastAsia="Times New Roman" w:cstheme="minorHAnsi"/>
                <w:lang w:eastAsia="hr-HR"/>
              </w:rPr>
              <w:t xml:space="preserve"> projek</w:t>
            </w:r>
            <w:r w:rsidR="009A3F4E">
              <w:rPr>
                <w:rFonts w:eastAsia="Times New Roman" w:cstheme="minorHAnsi"/>
                <w:lang w:eastAsia="hr-HR"/>
              </w:rPr>
              <w:t>t</w:t>
            </w:r>
            <w:r w:rsidRPr="00A1636E">
              <w:rPr>
                <w:rFonts w:eastAsia="Times New Roman" w:cstheme="minorHAnsi"/>
                <w:lang w:eastAsia="hr-HR"/>
              </w:rPr>
              <w:t xml:space="preserve"> „Niti jedan put nije težak s prijateljem uza se”, </w:t>
            </w:r>
            <w:r w:rsidR="009A3F4E">
              <w:rPr>
                <w:rFonts w:eastAsia="Times New Roman" w:cstheme="minorHAnsi"/>
                <w:lang w:eastAsia="hr-HR"/>
              </w:rPr>
              <w:t>s</w:t>
            </w:r>
            <w:r w:rsidRPr="00A1636E">
              <w:rPr>
                <w:rFonts w:eastAsia="Times New Roman" w:cstheme="minorHAnsi"/>
                <w:lang w:eastAsia="hr-HR"/>
              </w:rPr>
              <w:t>uradnja s udrugom P.O.I.N.T. u sklopu projekta Future Hub Križevci  itd.), ekološkim programima (skupljanje starih baterija, najljepši školski vrtovi, natječaj „Eko fotka“, natječaj Hrvatskih voda „Najmlađi za vode Hrvatske“ ). Od preventivnih programa izdvaja</w:t>
            </w:r>
            <w:r w:rsidR="009A3F4E">
              <w:rPr>
                <w:rFonts w:eastAsia="Times New Roman" w:cstheme="minorHAnsi"/>
                <w:lang w:eastAsia="hr-HR"/>
              </w:rPr>
              <w:t xml:space="preserve"> se </w:t>
            </w:r>
            <w:r w:rsidRPr="00A1636E">
              <w:rPr>
                <w:rFonts w:eastAsia="Times New Roman" w:cstheme="minorHAnsi"/>
                <w:lang w:eastAsia="hr-HR"/>
              </w:rPr>
              <w:t>Program prevencije ovisničkih oblika ponašanja u suradnji s PU Koprivničko-križevačkom, La(R) a – lančana (Re)Akcija – trening socijalnih vještina, Učimo zajedno, Utjecaj tjelesne aktivnosti na zdravlje djece.</w:t>
            </w:r>
          </w:p>
        </w:tc>
      </w:tr>
    </w:tbl>
    <w:p w14:paraId="5A551A79" w14:textId="77777777" w:rsidR="00A109F1" w:rsidRPr="00A109F1" w:rsidRDefault="00A109F1" w:rsidP="00A109F1">
      <w:pPr>
        <w:spacing w:after="0" w:line="240" w:lineRule="auto"/>
        <w:rPr>
          <w:rFonts w:cstheme="minorHAnsi"/>
        </w:rPr>
      </w:pPr>
    </w:p>
    <w:p w14:paraId="0DE5815B"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76055381" w14:textId="77777777" w:rsidTr="00E92F21">
        <w:trPr>
          <w:trHeight w:val="499"/>
        </w:trPr>
        <w:tc>
          <w:tcPr>
            <w:tcW w:w="91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A03B07"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3. Zakonske i druge podloge na kojima se zasnivaju programi</w:t>
            </w:r>
          </w:p>
        </w:tc>
      </w:tr>
      <w:tr w:rsidR="00A109F1" w:rsidRPr="00A109F1" w14:paraId="494B99A1" w14:textId="77777777" w:rsidTr="00A109F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8582" w14:textId="692213B4" w:rsidR="00A109F1" w:rsidRPr="004479EE" w:rsidRDefault="00A109F1" w:rsidP="00A109F1">
            <w:pPr>
              <w:spacing w:after="0" w:line="240" w:lineRule="auto"/>
              <w:rPr>
                <w:rFonts w:eastAsia="Times New Roman" w:cstheme="minorHAnsi"/>
                <w:lang w:eastAsia="hr-HR"/>
              </w:rPr>
            </w:pPr>
            <w:r w:rsidRPr="004479EE">
              <w:rPr>
                <w:rFonts w:eastAsia="Times New Roman" w:cstheme="minorHAnsi"/>
                <w:lang w:eastAsia="hr-HR"/>
              </w:rPr>
              <w:lastRenderedPageBreak/>
              <w:t> </w:t>
            </w:r>
            <w:r w:rsidR="003B1F03" w:rsidRPr="003B1F03">
              <w:rPr>
                <w:rFonts w:eastAsia="Times New Roman" w:cstheme="minorHAnsi"/>
                <w:lang w:eastAsia="hr-HR"/>
              </w:rPr>
              <w:t>Zakonska osnova za rad Škole su Zakon o odgoju i obrazovanju u osnovnoj i srednjoj školi ( Narodne novine broj : 87/08, 86/09, 92/10, 105/10, 90/11, 16/12, 86/12, 94/13, 152/14 i 7/17 , 68/18 , 98/19 i 64/20); Zakon o radu (Narodne novine broj: 93/14, 127/17 i 98/19), Zakon o zaštiti na radu ( Narodne novine broj: 71/14, 118/14 i 154/14 i 96/18), Zakon o fiskalnoj odgovornosti (Narodne novine broj: 111/18) te ostali zakoni, pravilnici, odluke i uredbe koji zadiru u rad Škole.</w:t>
            </w:r>
          </w:p>
        </w:tc>
      </w:tr>
    </w:tbl>
    <w:p w14:paraId="74518150" w14:textId="77777777" w:rsidR="00A109F1" w:rsidRPr="00A109F1" w:rsidRDefault="00A109F1" w:rsidP="00A109F1">
      <w:pPr>
        <w:spacing w:after="0" w:line="240" w:lineRule="auto"/>
        <w:rPr>
          <w:rFonts w:cstheme="minorHAnsi"/>
        </w:rPr>
      </w:pPr>
    </w:p>
    <w:p w14:paraId="75DAD35E" w14:textId="77777777" w:rsidR="00A109F1" w:rsidRPr="00A109F1" w:rsidRDefault="00A109F1" w:rsidP="00A109F1">
      <w:pPr>
        <w:spacing w:after="0" w:line="240" w:lineRule="auto"/>
        <w:rPr>
          <w:rFonts w:cstheme="minorHAnsi"/>
        </w:rPr>
      </w:pPr>
    </w:p>
    <w:p w14:paraId="66EBC059"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72E11608" w14:textId="77777777" w:rsidTr="00E92F21">
        <w:trPr>
          <w:trHeight w:val="499"/>
        </w:trPr>
        <w:tc>
          <w:tcPr>
            <w:tcW w:w="91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3EF244"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4. Usklađeni ciljevi, strategija i programi s dokumentima dugoročnog razvoja</w:t>
            </w:r>
          </w:p>
        </w:tc>
      </w:tr>
      <w:tr w:rsidR="00A109F1" w:rsidRPr="00A109F1" w14:paraId="54ACD1F4" w14:textId="77777777" w:rsidTr="00A109F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73082" w14:textId="4BFCCC35" w:rsidR="00A109F1" w:rsidRPr="004479EE" w:rsidRDefault="00A1636E" w:rsidP="002E5EA3">
            <w:pPr>
              <w:spacing w:after="0" w:line="240" w:lineRule="auto"/>
              <w:rPr>
                <w:rFonts w:eastAsia="Times New Roman" w:cstheme="minorHAnsi"/>
                <w:lang w:eastAsia="hr-HR"/>
              </w:rPr>
            </w:pPr>
            <w:r w:rsidRPr="00A1636E">
              <w:rPr>
                <w:rFonts w:eastAsia="Times New Roman" w:cstheme="minorHAnsi"/>
                <w:lang w:eastAsia="hr-HR"/>
              </w:rPr>
              <w:t>Rad Škole usklađen je s pozitivnim zakonima i strategijama Republike Hrvatske i usvojenim prioritetima, mjerama i projektima koji su definirani u Planu razvoja Grada Križevaca za razdoblje do 2030. godine.    Zakonska osnova za izradu Proračuna je Zakon o proračunu  (NN br. 144/21) i podzakonski akti kojima se regulira provedba Zakona, ponajprije Pravilnik o proračunskim klasifikacijama (NN br. 26/10, 120/13 i 1/20) te Pravilnik o proračunskom računovodstvu i Računskom planu ( NN br. 124/14, 115/15, 87/16, 3/18, 126/19 i 108/20). Izrada proračuna za  2023. godinu i projekcija  za 2024. i 2025. godinu polazi od Uputa za izradu proračuna jedinica lokalne i područne (regionalne ) samouprave za razdoblje 2023.-2025. koje je Ministarstvo financija objavilo</w:t>
            </w:r>
            <w:r w:rsidR="00ED5D73">
              <w:rPr>
                <w:rFonts w:eastAsia="Times New Roman" w:cstheme="minorHAnsi"/>
                <w:lang w:eastAsia="hr-HR"/>
              </w:rPr>
              <w:t xml:space="preserve"> </w:t>
            </w:r>
            <w:r w:rsidRPr="00A1636E">
              <w:rPr>
                <w:rFonts w:eastAsia="Times New Roman" w:cstheme="minorHAnsi"/>
                <w:lang w:eastAsia="hr-HR"/>
              </w:rPr>
              <w:t>8.rujna 2022. godine te Programa konvergencije Republike Hrvatske za razdoblje 2023.-2025. godine prihvaćenog u travnju 2022. godine.</w:t>
            </w:r>
          </w:p>
        </w:tc>
      </w:tr>
    </w:tbl>
    <w:p w14:paraId="04FF589C" w14:textId="77777777" w:rsidR="00A109F1" w:rsidRPr="00A109F1" w:rsidRDefault="00A109F1" w:rsidP="00A109F1">
      <w:pPr>
        <w:spacing w:after="0" w:line="240" w:lineRule="auto"/>
        <w:rPr>
          <w:rFonts w:cstheme="minorHAnsi"/>
        </w:rPr>
      </w:pPr>
    </w:p>
    <w:p w14:paraId="52F6F96A"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7B5BBC0A" w14:textId="77777777" w:rsidTr="00E92F21">
        <w:trPr>
          <w:trHeight w:val="799"/>
        </w:trPr>
        <w:tc>
          <w:tcPr>
            <w:tcW w:w="91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67CB3FCE"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5. Ishodište i pokazatelji na kojima se zasnivaju izračuni i ocjene potrebnih sredstava za provođenje programa</w:t>
            </w:r>
          </w:p>
        </w:tc>
      </w:tr>
      <w:tr w:rsidR="00A109F1" w:rsidRPr="00A109F1" w14:paraId="7096319F" w14:textId="77777777" w:rsidTr="00A109F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D5A8" w14:textId="2E8C6B1F" w:rsidR="00A109F1" w:rsidRPr="004479EE" w:rsidRDefault="00A109F1" w:rsidP="00A109F1">
            <w:pPr>
              <w:spacing w:after="0" w:line="240" w:lineRule="auto"/>
              <w:rPr>
                <w:rFonts w:eastAsia="Times New Roman" w:cstheme="minorHAnsi"/>
                <w:lang w:eastAsia="hr-HR"/>
              </w:rPr>
            </w:pPr>
            <w:r w:rsidRPr="004479EE">
              <w:rPr>
                <w:rFonts w:eastAsia="Times New Roman" w:cstheme="minorHAnsi"/>
                <w:lang w:eastAsia="hr-HR"/>
              </w:rPr>
              <w:t> </w:t>
            </w:r>
            <w:r w:rsidR="008C12A4" w:rsidRPr="008C12A4">
              <w:rPr>
                <w:rFonts w:eastAsia="Times New Roman" w:cstheme="minorHAnsi"/>
                <w:lang w:eastAsia="hr-HR"/>
              </w:rPr>
              <w:t>Pokazatelji rezultata zasnivaju se na  broju učenika koji sudjeluju na državnim smotrama i natjecanjima sa polaznom vrijednošću 10 učenika i broju učenika polaznika dodatnih programa/ dodatne nastave polazne vrijednosti 40 učenika. Pokazatelji učinka mjere se izvođenjem i organiziranjem dodatne nastave kojom se učenike potiče i motivira na sudjelovanje na natjecanjima iz predmeta za koje se izvodi dodatna nastava.</w:t>
            </w:r>
          </w:p>
        </w:tc>
      </w:tr>
    </w:tbl>
    <w:p w14:paraId="4CFA8551" w14:textId="77777777" w:rsidR="00A109F1" w:rsidRPr="00A109F1" w:rsidRDefault="00A109F1" w:rsidP="00A109F1">
      <w:pPr>
        <w:spacing w:after="0" w:line="240" w:lineRule="auto"/>
        <w:rPr>
          <w:rFonts w:cstheme="minorHAnsi"/>
        </w:rPr>
      </w:pPr>
    </w:p>
    <w:p w14:paraId="41D94546"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7FF59162" w14:textId="77777777" w:rsidTr="00E92F21">
        <w:trPr>
          <w:trHeight w:val="799"/>
        </w:trPr>
        <w:tc>
          <w:tcPr>
            <w:tcW w:w="916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74367E5"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6. Izvještaj o postignutim ciljevima i rezultatima programa temeljenim na pokazateljima uspješnosti iz nadležnosti proračunskog korisnika u prethodnoj godini</w:t>
            </w:r>
          </w:p>
        </w:tc>
      </w:tr>
      <w:tr w:rsidR="00A109F1" w:rsidRPr="00A109F1" w14:paraId="00559BF0" w14:textId="77777777" w:rsidTr="00374F16">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16B4D" w14:textId="77777777" w:rsidR="005E6A87" w:rsidRDefault="005E6A87" w:rsidP="00F9425E">
            <w:pPr>
              <w:pStyle w:val="Odlomakpopisa2"/>
              <w:spacing w:after="0" w:line="240" w:lineRule="auto"/>
              <w:ind w:left="0"/>
              <w:jc w:val="both"/>
              <w:rPr>
                <w:rFonts w:asciiTheme="minorHAnsi" w:hAnsiTheme="minorHAnsi" w:cstheme="minorHAnsi"/>
              </w:rPr>
            </w:pPr>
          </w:p>
          <w:p w14:paraId="6EFDFD77" w14:textId="3469919F" w:rsidR="002E5EA3" w:rsidRDefault="002E5EA3" w:rsidP="002E5EA3">
            <w:pPr>
              <w:spacing w:after="0" w:line="240" w:lineRule="auto"/>
              <w:rPr>
                <w:rFonts w:ascii="Calibri" w:eastAsia="Times New Roman" w:hAnsi="Calibri" w:cs="Calibri"/>
                <w:sz w:val="21"/>
                <w:szCs w:val="21"/>
                <w:lang w:eastAsia="hr-HR"/>
              </w:rPr>
            </w:pPr>
            <w:r>
              <w:rPr>
                <w:rFonts w:ascii="Calibri" w:eastAsia="Times New Roman" w:hAnsi="Calibri" w:cs="Calibri"/>
                <w:sz w:val="21"/>
                <w:szCs w:val="21"/>
                <w:lang w:eastAsia="hr-HR"/>
              </w:rPr>
              <w:t xml:space="preserve"> </w:t>
            </w:r>
            <w:r w:rsidRPr="002D4B88">
              <w:rPr>
                <w:rFonts w:ascii="Calibri" w:eastAsia="Times New Roman" w:hAnsi="Calibri" w:cs="Calibri"/>
                <w:sz w:val="21"/>
                <w:szCs w:val="21"/>
                <w:lang w:eastAsia="hr-HR"/>
              </w:rPr>
              <w:t>Osnovna škola Ljudevita Modeca ima 802 učenika i 99 zaposlenika, od toga 75 učitelja i stručnih suradnika. Školsko područje obuhvaća 30-ak km2 i na tom području smještena je matična škola i osam područnih škola i to: Apatovec (8 učenika), Vojakovački Osijek (7 učenika), Glogovnica (15 učenika), Sveta Helena (12 učenika), Vojakovac (18 učenika), Križevačka Poljana (18 učenika), Veliki Raven (34 učenika) i Dubovec (zgrada privremeno neupotrebljiva zbog oštećenja uzrokovanih potresom).</w:t>
            </w:r>
            <w:r w:rsidRPr="002D4B88">
              <w:rPr>
                <w:rFonts w:ascii="Calibri" w:eastAsia="Times New Roman" w:hAnsi="Calibri" w:cs="Calibri"/>
                <w:sz w:val="21"/>
                <w:szCs w:val="21"/>
                <w:lang w:eastAsia="hr-HR"/>
              </w:rPr>
              <w:br/>
              <w:t xml:space="preserve">          Kadrovska struktura zadovoljava</w:t>
            </w:r>
            <w:r w:rsidR="00825FA9">
              <w:rPr>
                <w:rFonts w:ascii="Calibri" w:eastAsia="Times New Roman" w:hAnsi="Calibri" w:cs="Calibri"/>
                <w:sz w:val="21"/>
                <w:szCs w:val="21"/>
                <w:lang w:eastAsia="hr-HR"/>
              </w:rPr>
              <w:t>, a</w:t>
            </w:r>
            <w:r w:rsidRPr="002D4B88">
              <w:rPr>
                <w:rFonts w:ascii="Calibri" w:eastAsia="Times New Roman" w:hAnsi="Calibri" w:cs="Calibri"/>
                <w:sz w:val="21"/>
                <w:szCs w:val="21"/>
                <w:lang w:eastAsia="hr-HR"/>
              </w:rPr>
              <w:t xml:space="preserve"> </w:t>
            </w:r>
            <w:r>
              <w:rPr>
                <w:rFonts w:ascii="Calibri" w:eastAsia="Times New Roman" w:hAnsi="Calibri" w:cs="Calibri"/>
                <w:sz w:val="21"/>
                <w:szCs w:val="21"/>
                <w:lang w:eastAsia="hr-HR"/>
              </w:rPr>
              <w:t xml:space="preserve">samo jedno </w:t>
            </w:r>
            <w:r w:rsidRPr="002D4B88">
              <w:rPr>
                <w:rFonts w:ascii="Calibri" w:eastAsia="Times New Roman" w:hAnsi="Calibri" w:cs="Calibri"/>
                <w:sz w:val="21"/>
                <w:szCs w:val="21"/>
                <w:lang w:eastAsia="hr-HR"/>
              </w:rPr>
              <w:t xml:space="preserve">radno mjesto </w:t>
            </w:r>
            <w:r>
              <w:rPr>
                <w:rFonts w:ascii="Calibri" w:eastAsia="Times New Roman" w:hAnsi="Calibri" w:cs="Calibri"/>
                <w:sz w:val="21"/>
                <w:szCs w:val="21"/>
                <w:lang w:eastAsia="hr-HR"/>
              </w:rPr>
              <w:t xml:space="preserve">nije </w:t>
            </w:r>
            <w:r w:rsidRPr="002D4B88">
              <w:rPr>
                <w:rFonts w:ascii="Calibri" w:eastAsia="Times New Roman" w:hAnsi="Calibri" w:cs="Calibri"/>
                <w:sz w:val="21"/>
                <w:szCs w:val="21"/>
                <w:lang w:eastAsia="hr-HR"/>
              </w:rPr>
              <w:t>popunjeno stručnom osobom</w:t>
            </w:r>
            <w:r>
              <w:rPr>
                <w:rFonts w:ascii="Calibri" w:eastAsia="Times New Roman" w:hAnsi="Calibri" w:cs="Calibri"/>
                <w:sz w:val="21"/>
                <w:szCs w:val="21"/>
                <w:lang w:eastAsia="hr-HR"/>
              </w:rPr>
              <w:t>. Sve</w:t>
            </w:r>
            <w:r w:rsidRPr="002D4B88">
              <w:rPr>
                <w:rFonts w:ascii="Calibri" w:eastAsia="Times New Roman" w:hAnsi="Calibri" w:cs="Calibri"/>
                <w:sz w:val="21"/>
                <w:szCs w:val="21"/>
                <w:lang w:eastAsia="hr-HR"/>
              </w:rPr>
              <w:t xml:space="preserve"> zamjene za bolovanja, rodiljine i ostale dopuste odrađeni su stručnim zamjenama.</w:t>
            </w:r>
            <w:r w:rsidRPr="002D4B88">
              <w:rPr>
                <w:rFonts w:ascii="Calibri" w:eastAsia="Times New Roman" w:hAnsi="Calibri" w:cs="Calibri"/>
                <w:sz w:val="21"/>
                <w:szCs w:val="21"/>
                <w:lang w:eastAsia="hr-HR"/>
              </w:rPr>
              <w:br/>
              <w:t xml:space="preserve">     U školi imamo tri voditelja </w:t>
            </w:r>
            <w:r w:rsidR="00825FA9">
              <w:rPr>
                <w:rFonts w:ascii="Calibri" w:eastAsia="Times New Roman" w:hAnsi="Calibri" w:cs="Calibri"/>
                <w:sz w:val="21"/>
                <w:szCs w:val="21"/>
                <w:lang w:eastAsia="hr-HR"/>
              </w:rPr>
              <w:t>ž</w:t>
            </w:r>
            <w:r w:rsidRPr="002D4B88">
              <w:rPr>
                <w:rFonts w:ascii="Calibri" w:eastAsia="Times New Roman" w:hAnsi="Calibri" w:cs="Calibri"/>
                <w:sz w:val="21"/>
                <w:szCs w:val="21"/>
                <w:lang w:eastAsia="hr-HR"/>
              </w:rPr>
              <w:t>upanijskih stručnih vijeća. Šest učiteljica/učitelja imaju zvanje učitelj savjetnik, pet učiteljica zvanje učitelj mentor i jedan učitelj je promoviran u izvrsnog savjetnika.</w:t>
            </w:r>
            <w:r w:rsidRPr="002D4B88">
              <w:rPr>
                <w:rFonts w:ascii="Calibri" w:eastAsia="Times New Roman" w:hAnsi="Calibri" w:cs="Calibri"/>
                <w:sz w:val="21"/>
                <w:szCs w:val="21"/>
                <w:lang w:eastAsia="hr-HR"/>
              </w:rPr>
              <w:br/>
              <w:t xml:space="preserve">            Osim učitelja koji rade u redovnoj nastavi u školi je </w:t>
            </w:r>
            <w:r>
              <w:rPr>
                <w:rFonts w:ascii="Calibri" w:eastAsia="Times New Roman" w:hAnsi="Calibri" w:cs="Calibri"/>
                <w:sz w:val="21"/>
                <w:szCs w:val="21"/>
                <w:lang w:eastAsia="hr-HR"/>
              </w:rPr>
              <w:t xml:space="preserve">zaposleno i </w:t>
            </w:r>
            <w:r w:rsidRPr="002D4B88">
              <w:rPr>
                <w:rFonts w:ascii="Calibri" w:eastAsia="Times New Roman" w:hAnsi="Calibri" w:cs="Calibri"/>
                <w:sz w:val="21"/>
                <w:szCs w:val="21"/>
                <w:lang w:eastAsia="hr-HR"/>
              </w:rPr>
              <w:t>devet pomoćnika u nastavi, koji pomažu djeci s poteškoćama u razvoju zaposlenih putem EU projekta „Pomozimo jedni drugima III“  i „Pomozimo jedni drugima IV“ kojemu je nositelj Grad Križevci.</w:t>
            </w:r>
            <w:r w:rsidRPr="002D4B88">
              <w:rPr>
                <w:rFonts w:ascii="Calibri" w:eastAsia="Times New Roman" w:hAnsi="Calibri" w:cs="Calibri"/>
                <w:sz w:val="21"/>
                <w:szCs w:val="21"/>
                <w:lang w:eastAsia="hr-HR"/>
              </w:rPr>
              <w:br/>
              <w:t xml:space="preserve">             U nastavnoj godini 2021./2022. Osnovnu školu Ljudevita Modeca završilo je 120 učenika osmog razreda.</w:t>
            </w:r>
            <w:r>
              <w:rPr>
                <w:rFonts w:ascii="Calibri" w:eastAsia="Times New Roman" w:hAnsi="Calibri" w:cs="Calibri"/>
                <w:sz w:val="21"/>
                <w:szCs w:val="21"/>
                <w:lang w:eastAsia="hr-HR"/>
              </w:rPr>
              <w:t xml:space="preserve"> </w:t>
            </w:r>
            <w:r w:rsidRPr="002D4B88">
              <w:rPr>
                <w:rFonts w:ascii="Calibri" w:eastAsia="Times New Roman" w:hAnsi="Calibri" w:cs="Calibri"/>
                <w:sz w:val="21"/>
                <w:szCs w:val="21"/>
                <w:lang w:eastAsia="hr-HR"/>
              </w:rPr>
              <w:t>Do kraja nastavne godine 2021./22.  ostvareno je najmanje 175 nastavnih radnih dana</w:t>
            </w:r>
            <w:r>
              <w:rPr>
                <w:rFonts w:ascii="Calibri" w:eastAsia="Times New Roman" w:hAnsi="Calibri" w:cs="Calibri"/>
                <w:sz w:val="21"/>
                <w:szCs w:val="21"/>
                <w:lang w:eastAsia="hr-HR"/>
              </w:rPr>
              <w:t xml:space="preserve"> po razredima</w:t>
            </w:r>
            <w:r w:rsidRPr="002D4B88">
              <w:rPr>
                <w:rFonts w:ascii="Calibri" w:eastAsia="Times New Roman" w:hAnsi="Calibri" w:cs="Calibri"/>
                <w:sz w:val="21"/>
                <w:szCs w:val="21"/>
                <w:lang w:eastAsia="hr-HR"/>
              </w:rPr>
              <w:t xml:space="preserve">. Nastavni program u svim nastavnim predmetima je u potpunosti ostvaren.                                                                                         </w:t>
            </w:r>
            <w:r w:rsidRPr="002D4B88">
              <w:rPr>
                <w:rFonts w:ascii="Calibri" w:eastAsia="Times New Roman" w:hAnsi="Calibri" w:cs="Calibri"/>
                <w:sz w:val="21"/>
                <w:szCs w:val="21"/>
                <w:lang w:eastAsia="hr-HR"/>
              </w:rPr>
              <w:br/>
              <w:t>Na kraju nastavne godine i održane pomoći u učenju i nadoknađivanju znanja kroz dopunski rad i proveden predmetn</w:t>
            </w:r>
            <w:r>
              <w:rPr>
                <w:rFonts w:ascii="Calibri" w:eastAsia="Times New Roman" w:hAnsi="Calibri" w:cs="Calibri"/>
                <w:sz w:val="21"/>
                <w:szCs w:val="21"/>
                <w:lang w:eastAsia="hr-HR"/>
              </w:rPr>
              <w:t>i</w:t>
            </w:r>
            <w:r w:rsidRPr="002D4B88">
              <w:rPr>
                <w:rFonts w:ascii="Calibri" w:eastAsia="Times New Roman" w:hAnsi="Calibri" w:cs="Calibri"/>
                <w:sz w:val="21"/>
                <w:szCs w:val="21"/>
                <w:lang w:eastAsia="hr-HR"/>
              </w:rPr>
              <w:t xml:space="preserve"> ispit učenici su ostvarili sljedeći uspjeh: 99,9% učenika je pozitivno ocijenjeno, a 0,1</w:t>
            </w:r>
            <w:r>
              <w:rPr>
                <w:rFonts w:ascii="Calibri" w:eastAsia="Times New Roman" w:hAnsi="Calibri" w:cs="Calibri"/>
                <w:sz w:val="21"/>
                <w:szCs w:val="21"/>
                <w:lang w:eastAsia="hr-HR"/>
              </w:rPr>
              <w:t>2</w:t>
            </w:r>
            <w:r w:rsidRPr="002D4B88">
              <w:rPr>
                <w:rFonts w:ascii="Calibri" w:eastAsia="Times New Roman" w:hAnsi="Calibri" w:cs="Calibri"/>
                <w:sz w:val="21"/>
                <w:szCs w:val="21"/>
                <w:lang w:eastAsia="hr-HR"/>
              </w:rPr>
              <w:t>% učenik je upućeno na ponavljanje.</w:t>
            </w:r>
            <w:r w:rsidRPr="002D4B88">
              <w:rPr>
                <w:rFonts w:ascii="Calibri" w:eastAsia="Times New Roman" w:hAnsi="Calibri" w:cs="Calibri"/>
                <w:sz w:val="21"/>
                <w:szCs w:val="21"/>
                <w:lang w:eastAsia="hr-HR"/>
              </w:rPr>
              <w:br/>
              <w:t>Na pomoć u učenju i nadoknađivanju znanja kroz dopunski rad bilo je upućeno  9 učenika, odnosno 2,1% učenika 5.-8. razreda – svi iz jednog nastavnog predmeta. Svi su nakon toga pozitivno oc</w:t>
            </w:r>
            <w:r w:rsidR="00401460">
              <w:rPr>
                <w:rFonts w:ascii="Calibri" w:eastAsia="Times New Roman" w:hAnsi="Calibri" w:cs="Calibri"/>
                <w:sz w:val="21"/>
                <w:szCs w:val="21"/>
                <w:lang w:eastAsia="hr-HR"/>
              </w:rPr>
              <w:t>i</w:t>
            </w:r>
            <w:r w:rsidRPr="002D4B88">
              <w:rPr>
                <w:rFonts w:ascii="Calibri" w:eastAsia="Times New Roman" w:hAnsi="Calibri" w:cs="Calibri"/>
                <w:sz w:val="21"/>
                <w:szCs w:val="21"/>
                <w:lang w:eastAsia="hr-HR"/>
              </w:rPr>
              <w:t>jenjeni. U razrednoj nastavi svi učenici prelaze u viši razred.  U predmetnoj nastavi pozitivno je ocijenjeno 9</w:t>
            </w:r>
            <w:r>
              <w:rPr>
                <w:rFonts w:ascii="Calibri" w:eastAsia="Times New Roman" w:hAnsi="Calibri" w:cs="Calibri"/>
                <w:sz w:val="21"/>
                <w:szCs w:val="21"/>
                <w:lang w:eastAsia="hr-HR"/>
              </w:rPr>
              <w:t>8</w:t>
            </w:r>
            <w:r w:rsidRPr="002D4B88">
              <w:rPr>
                <w:rFonts w:ascii="Calibri" w:eastAsia="Times New Roman" w:hAnsi="Calibri" w:cs="Calibri"/>
                <w:sz w:val="21"/>
                <w:szCs w:val="21"/>
                <w:lang w:eastAsia="hr-HR"/>
              </w:rPr>
              <w:t>,</w:t>
            </w:r>
            <w:r>
              <w:rPr>
                <w:rFonts w:ascii="Calibri" w:eastAsia="Times New Roman" w:hAnsi="Calibri" w:cs="Calibri"/>
                <w:sz w:val="21"/>
                <w:szCs w:val="21"/>
                <w:lang w:eastAsia="hr-HR"/>
              </w:rPr>
              <w:t>8</w:t>
            </w:r>
            <w:r w:rsidRPr="002D4B88">
              <w:rPr>
                <w:rFonts w:ascii="Calibri" w:eastAsia="Times New Roman" w:hAnsi="Calibri" w:cs="Calibri"/>
                <w:sz w:val="21"/>
                <w:szCs w:val="21"/>
                <w:lang w:eastAsia="hr-HR"/>
              </w:rPr>
              <w:t>% učenika, a 0,1</w:t>
            </w:r>
            <w:r>
              <w:rPr>
                <w:rFonts w:ascii="Calibri" w:eastAsia="Times New Roman" w:hAnsi="Calibri" w:cs="Calibri"/>
                <w:sz w:val="21"/>
                <w:szCs w:val="21"/>
                <w:lang w:eastAsia="hr-HR"/>
              </w:rPr>
              <w:t>2</w:t>
            </w:r>
            <w:r w:rsidRPr="002D4B88">
              <w:rPr>
                <w:rFonts w:ascii="Calibri" w:eastAsia="Times New Roman" w:hAnsi="Calibri" w:cs="Calibri"/>
                <w:sz w:val="21"/>
                <w:szCs w:val="21"/>
                <w:lang w:eastAsia="hr-HR"/>
              </w:rPr>
              <w:t>% učenika upućeno je na ponavljanje razreda.</w:t>
            </w:r>
            <w:r w:rsidRPr="002D4B88">
              <w:rPr>
                <w:rFonts w:ascii="Calibri" w:eastAsia="Times New Roman" w:hAnsi="Calibri" w:cs="Calibri"/>
                <w:sz w:val="21"/>
                <w:szCs w:val="21"/>
                <w:lang w:eastAsia="hr-HR"/>
              </w:rPr>
              <w:br/>
              <w:t>U nastavnoj godini 2021./22. izrečeno je 146 usmenih pohvala razrednika učenicima za savjestan i odgovoran odnos prema radu i uzorno vladanje. 240 učenika je pismeno pohvaljeno zbog odličnog uspjeha – prosjek ocjena 5,0. Nagrađeno je 12 učenika, a izrečen</w:t>
            </w:r>
            <w:r w:rsidR="001F4B94">
              <w:rPr>
                <w:rFonts w:ascii="Calibri" w:eastAsia="Times New Roman" w:hAnsi="Calibri" w:cs="Calibri"/>
                <w:sz w:val="21"/>
                <w:szCs w:val="21"/>
                <w:lang w:eastAsia="hr-HR"/>
              </w:rPr>
              <w:t>o</w:t>
            </w:r>
            <w:r w:rsidRPr="002D4B88">
              <w:rPr>
                <w:rFonts w:ascii="Calibri" w:eastAsia="Times New Roman" w:hAnsi="Calibri" w:cs="Calibri"/>
                <w:sz w:val="21"/>
                <w:szCs w:val="21"/>
                <w:lang w:eastAsia="hr-HR"/>
              </w:rPr>
              <w:t xml:space="preserve"> je i 17 pedagoških mjera opomena i to 14 pisanih opomena i 3 ukora Razrednog vijeća.</w:t>
            </w:r>
            <w:r w:rsidRPr="002D4B88">
              <w:rPr>
                <w:rFonts w:ascii="Calibri" w:eastAsia="Times New Roman" w:hAnsi="Calibri" w:cs="Calibri"/>
                <w:sz w:val="21"/>
                <w:szCs w:val="21"/>
                <w:lang w:eastAsia="hr-HR"/>
              </w:rPr>
              <w:br/>
              <w:t>Zbog COVID 19 pandemije nastava se održavala online za sve učenike</w:t>
            </w:r>
            <w:r w:rsidR="001B3DD9">
              <w:rPr>
                <w:rFonts w:ascii="Calibri" w:eastAsia="Times New Roman" w:hAnsi="Calibri" w:cs="Calibri"/>
                <w:sz w:val="21"/>
                <w:szCs w:val="21"/>
                <w:lang w:eastAsia="hr-HR"/>
              </w:rPr>
              <w:t xml:space="preserve"> od</w:t>
            </w:r>
            <w:r w:rsidRPr="002D4B88">
              <w:rPr>
                <w:rFonts w:ascii="Calibri" w:eastAsia="Times New Roman" w:hAnsi="Calibri" w:cs="Calibri"/>
                <w:sz w:val="21"/>
                <w:szCs w:val="21"/>
                <w:lang w:eastAsia="hr-HR"/>
              </w:rPr>
              <w:t xml:space="preserve"> 24. siječnja 2022. – 4. veljače 2022. </w:t>
            </w:r>
            <w:r w:rsidRPr="002D4B88">
              <w:rPr>
                <w:rFonts w:ascii="Calibri" w:eastAsia="Times New Roman" w:hAnsi="Calibri" w:cs="Calibri"/>
                <w:sz w:val="21"/>
                <w:szCs w:val="21"/>
                <w:lang w:eastAsia="hr-HR"/>
              </w:rPr>
              <w:br/>
              <w:t xml:space="preserve">Tijekom razdoblja veljača-travanj učenici su pod vodstvom svojih mentora sudjelovali na brojnim općinskim, županijskim i državnim natjecanjima. Škola je bila domaćin županijskim natjecanjima iz fizike, povijesti, u košarci, odbojci, sportskom plesu, 65. Glazbenim svečanostima hrvatske mladeži te mnogim natjecanjima na općinskoj razini. </w:t>
            </w:r>
          </w:p>
          <w:p w14:paraId="20F1AC9A" w14:textId="5455E1C6" w:rsidR="002E5EA3" w:rsidRPr="002D4B88" w:rsidRDefault="002E5EA3" w:rsidP="002E5EA3">
            <w:pPr>
              <w:spacing w:after="0" w:line="240" w:lineRule="auto"/>
              <w:rPr>
                <w:rFonts w:ascii="Calibri" w:eastAsia="Times New Roman" w:hAnsi="Calibri" w:cs="Calibri"/>
                <w:sz w:val="21"/>
                <w:szCs w:val="21"/>
                <w:lang w:eastAsia="hr-HR"/>
              </w:rPr>
            </w:pPr>
            <w:r w:rsidRPr="00F9425E">
              <w:rPr>
                <w:rFonts w:eastAsia="Times New Roman" w:cstheme="minorHAnsi"/>
                <w:lang w:eastAsia="hr-HR"/>
              </w:rPr>
              <w:t>Učenici škole sudjelovali su u natjecanjima na državnoj razini iz njemačkog jezika (6. mjesto), LidraNa, fizike (1. mjesto), sportskog plesa (4. mjesto), košarke (5. mjesto), odbojke (9. mjesto), tehničke kulture, Festivalu dječjeg glazbenog stvaralaštva (1. nagrada), Državni kros učenika 5. i 6. razreda (10. i 13 mjesto).</w:t>
            </w:r>
            <w:r w:rsidRPr="002D4B88">
              <w:rPr>
                <w:rFonts w:ascii="Calibri" w:eastAsia="Times New Roman" w:hAnsi="Calibri" w:cs="Calibri"/>
                <w:sz w:val="21"/>
                <w:szCs w:val="21"/>
                <w:lang w:eastAsia="hr-HR"/>
              </w:rPr>
              <w:br/>
              <w:t xml:space="preserve">Nastavni program u svim nastavnim predmetima je u potpunosti ostvaren.                                                                                         </w:t>
            </w:r>
            <w:r w:rsidRPr="002D4B88">
              <w:rPr>
                <w:rFonts w:ascii="Calibri" w:eastAsia="Times New Roman" w:hAnsi="Calibri" w:cs="Calibri"/>
                <w:sz w:val="21"/>
                <w:szCs w:val="21"/>
                <w:lang w:eastAsia="hr-HR"/>
              </w:rPr>
              <w:br/>
              <w:t>Učenici su uz redovnu nastavu pohađali i izbornu nastavu vjeronauka, informatike, engleskog i njemačkog jezika (uključeno 1465 učenika), izvannastavne aktivnosti (uključeno 513 učenika)</w:t>
            </w:r>
            <w:r w:rsidR="00EC1629">
              <w:rPr>
                <w:rFonts w:ascii="Calibri" w:eastAsia="Times New Roman" w:hAnsi="Calibri" w:cs="Calibri"/>
                <w:sz w:val="21"/>
                <w:szCs w:val="21"/>
                <w:lang w:eastAsia="hr-HR"/>
              </w:rPr>
              <w:t xml:space="preserve">, </w:t>
            </w:r>
            <w:r w:rsidRPr="002D4B88">
              <w:rPr>
                <w:rFonts w:ascii="Calibri" w:eastAsia="Times New Roman" w:hAnsi="Calibri" w:cs="Calibri"/>
                <w:sz w:val="21"/>
                <w:szCs w:val="21"/>
                <w:lang w:eastAsia="hr-HR"/>
              </w:rPr>
              <w:t>dopunsku nastavu (uključeno 256 učenika) te dodatni rad s nadarenim učenicima (uključeno 250 učenika).</w:t>
            </w:r>
            <w:r w:rsidRPr="002D4B88">
              <w:rPr>
                <w:rFonts w:ascii="Calibri" w:eastAsia="Times New Roman" w:hAnsi="Calibri" w:cs="Calibri"/>
                <w:sz w:val="21"/>
                <w:szCs w:val="21"/>
                <w:lang w:eastAsia="hr-HR"/>
              </w:rPr>
              <w:br/>
              <w:t xml:space="preserve">Osnovna škola Ljudevita Modeca </w:t>
            </w:r>
            <w:r>
              <w:rPr>
                <w:rFonts w:ascii="Calibri" w:eastAsia="Times New Roman" w:hAnsi="Calibri" w:cs="Calibri"/>
                <w:sz w:val="21"/>
                <w:szCs w:val="21"/>
                <w:lang w:eastAsia="hr-HR"/>
              </w:rPr>
              <w:t xml:space="preserve">provela je </w:t>
            </w:r>
            <w:r w:rsidRPr="002D4B88">
              <w:rPr>
                <w:rFonts w:ascii="Calibri" w:eastAsia="Times New Roman" w:hAnsi="Calibri" w:cs="Calibri"/>
                <w:sz w:val="21"/>
                <w:szCs w:val="21"/>
                <w:lang w:eastAsia="hr-HR"/>
              </w:rPr>
              <w:t xml:space="preserve">preventivne programe u svrhu poboljšanja zdravlja učenika i sprečavanja nasilja (nasilnog ponašanja) među učenicima koje provodi stručna služba škole. Učenici sedmih i osmih razreda realizirali su višednevnu terensku nastavu u Istru tj. Srednju Dalmaciju. </w:t>
            </w:r>
            <w:r w:rsidRPr="002D4B88">
              <w:rPr>
                <w:rFonts w:ascii="Calibri" w:eastAsia="Times New Roman" w:hAnsi="Calibri" w:cs="Calibri"/>
                <w:sz w:val="21"/>
                <w:szCs w:val="21"/>
                <w:lang w:eastAsia="hr-HR"/>
              </w:rPr>
              <w:br/>
              <w:t xml:space="preserve">Godišnji plan i program škole </w:t>
            </w:r>
            <w:r>
              <w:rPr>
                <w:rFonts w:ascii="Calibri" w:eastAsia="Times New Roman" w:hAnsi="Calibri" w:cs="Calibri"/>
                <w:sz w:val="21"/>
                <w:szCs w:val="21"/>
                <w:lang w:eastAsia="hr-HR"/>
              </w:rPr>
              <w:t>te školski kurikulum su realizirani</w:t>
            </w:r>
            <w:r w:rsidRPr="002D4B88">
              <w:rPr>
                <w:rFonts w:ascii="Calibri" w:eastAsia="Times New Roman" w:hAnsi="Calibri" w:cs="Calibri"/>
                <w:sz w:val="21"/>
                <w:szCs w:val="21"/>
                <w:lang w:eastAsia="hr-HR"/>
              </w:rPr>
              <w:t xml:space="preserve">, osim programa koji se zbog pandemije Covida 19 nisu mogli održati.     </w:t>
            </w:r>
          </w:p>
          <w:p w14:paraId="727758D9" w14:textId="77777777" w:rsidR="002E5EA3" w:rsidRDefault="002E5EA3" w:rsidP="002E5EA3"/>
          <w:p w14:paraId="0AD74A9A" w14:textId="4CE7ADA9" w:rsidR="00A109F1" w:rsidRPr="004479EE" w:rsidRDefault="00A109F1" w:rsidP="00DC2F2C">
            <w:pPr>
              <w:spacing w:after="0" w:line="240" w:lineRule="auto"/>
              <w:rPr>
                <w:rFonts w:eastAsia="Times New Roman" w:cstheme="minorHAnsi"/>
                <w:lang w:eastAsia="hr-HR"/>
              </w:rPr>
            </w:pPr>
          </w:p>
        </w:tc>
      </w:tr>
    </w:tbl>
    <w:p w14:paraId="6F4BFD2F" w14:textId="77777777" w:rsidR="00A109F1" w:rsidRPr="00A109F1" w:rsidRDefault="00A109F1" w:rsidP="00A109F1">
      <w:pPr>
        <w:spacing w:after="0" w:line="240" w:lineRule="auto"/>
        <w:rPr>
          <w:rFonts w:cstheme="minorHAnsi"/>
        </w:rPr>
      </w:pPr>
    </w:p>
    <w:p w14:paraId="513CDA5A" w14:textId="77777777" w:rsidR="00A109F1" w:rsidRPr="00A109F1" w:rsidRDefault="00A109F1" w:rsidP="00A109F1">
      <w:pPr>
        <w:spacing w:after="0" w:line="240" w:lineRule="auto"/>
        <w:rPr>
          <w:rFonts w:cstheme="minorHAnsi"/>
        </w:rPr>
      </w:pPr>
    </w:p>
    <w:p w14:paraId="269194AD" w14:textId="77777777" w:rsidR="00A109F1" w:rsidRPr="00A109F1" w:rsidRDefault="00A109F1" w:rsidP="00A109F1">
      <w:pPr>
        <w:spacing w:after="0" w:line="240" w:lineRule="auto"/>
        <w:rPr>
          <w:rFonts w:cstheme="minorHAnsi"/>
        </w:rPr>
      </w:pPr>
    </w:p>
    <w:p w14:paraId="3A016C7E" w14:textId="77777777" w:rsidR="00A109F1" w:rsidRPr="00A109F1" w:rsidRDefault="00A109F1" w:rsidP="00A109F1">
      <w:pPr>
        <w:spacing w:after="0" w:line="240" w:lineRule="auto"/>
        <w:rPr>
          <w:rFonts w:cstheme="minorHAnsi"/>
        </w:rPr>
      </w:pPr>
    </w:p>
    <w:p w14:paraId="63ABE7BA" w14:textId="77777777" w:rsidR="00A109F1" w:rsidRPr="00A109F1" w:rsidRDefault="00A109F1" w:rsidP="00A109F1">
      <w:pPr>
        <w:spacing w:after="0" w:line="240" w:lineRule="auto"/>
        <w:rPr>
          <w:rFonts w:cstheme="minorHAnsi"/>
        </w:rPr>
      </w:pPr>
    </w:p>
    <w:p w14:paraId="54E5AF20" w14:textId="77777777" w:rsidR="00A109F1" w:rsidRPr="00A109F1" w:rsidRDefault="00A109F1" w:rsidP="00A109F1">
      <w:pPr>
        <w:spacing w:after="0" w:line="240" w:lineRule="auto"/>
        <w:rPr>
          <w:rFonts w:cstheme="minorHAnsi"/>
        </w:rPr>
      </w:pPr>
    </w:p>
    <w:p w14:paraId="0A7C2F54" w14:textId="77777777" w:rsidR="00A109F1" w:rsidRPr="00A109F1" w:rsidRDefault="00A109F1" w:rsidP="00A109F1">
      <w:pPr>
        <w:spacing w:after="0" w:line="240" w:lineRule="auto"/>
        <w:rPr>
          <w:rFonts w:cstheme="minorHAnsi"/>
        </w:rPr>
      </w:pPr>
    </w:p>
    <w:tbl>
      <w:tblPr>
        <w:tblW w:w="9160" w:type="dxa"/>
        <w:tblLook w:val="04A0" w:firstRow="1" w:lastRow="0" w:firstColumn="1" w:lastColumn="0" w:noHBand="0" w:noVBand="1"/>
      </w:tblPr>
      <w:tblGrid>
        <w:gridCol w:w="9160"/>
      </w:tblGrid>
      <w:tr w:rsidR="00A109F1" w:rsidRPr="00A109F1" w14:paraId="2D4746A6" w14:textId="77777777" w:rsidTr="00E92F21">
        <w:trPr>
          <w:trHeight w:val="499"/>
        </w:trPr>
        <w:tc>
          <w:tcPr>
            <w:tcW w:w="916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304EAE" w14:textId="77777777" w:rsidR="00A109F1" w:rsidRPr="004479EE" w:rsidRDefault="00A109F1" w:rsidP="00A109F1">
            <w:pPr>
              <w:spacing w:after="0" w:line="240" w:lineRule="auto"/>
              <w:rPr>
                <w:rFonts w:eastAsia="Times New Roman" w:cstheme="minorHAnsi"/>
                <w:b/>
                <w:bCs/>
                <w:lang w:eastAsia="hr-HR"/>
              </w:rPr>
            </w:pPr>
            <w:r w:rsidRPr="004479EE">
              <w:rPr>
                <w:rFonts w:eastAsia="Times New Roman" w:cstheme="minorHAnsi"/>
                <w:b/>
                <w:bCs/>
                <w:lang w:eastAsia="hr-HR"/>
              </w:rPr>
              <w:t>7. Ostala obrazloženja i dokumentacija</w:t>
            </w:r>
          </w:p>
        </w:tc>
      </w:tr>
      <w:tr w:rsidR="00A109F1" w:rsidRPr="00A109F1" w14:paraId="742FA5D4" w14:textId="77777777" w:rsidTr="00E92F21">
        <w:trPr>
          <w:trHeight w:val="2835"/>
        </w:trPr>
        <w:tc>
          <w:tcPr>
            <w:tcW w:w="9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E1530" w14:textId="527A1F64" w:rsidR="00A109F1" w:rsidRPr="005D1471" w:rsidRDefault="005D1471" w:rsidP="00A109F1">
            <w:pPr>
              <w:spacing w:after="0" w:line="240" w:lineRule="auto"/>
              <w:rPr>
                <w:rFonts w:eastAsia="Times New Roman" w:cstheme="minorHAnsi"/>
                <w:lang w:eastAsia="hr-HR"/>
              </w:rPr>
            </w:pPr>
            <w:r w:rsidRPr="005D1471">
              <w:rPr>
                <w:rFonts w:eastAsia="Times New Roman" w:cstheme="minorHAnsi"/>
                <w:lang w:eastAsia="hr-HR"/>
              </w:rPr>
              <w:t>Sudjelovanje učenika na natjecanjima-školska, županijska, poluzavršna i državna natjecanja financirana od Grada, županije i Agencije za odgoj i obrazovanje. Donacije se ostvaruju prema pisanim zamolbama za određeni pisani projekt. Sudjelovanje na natječajima prema pristiglim pozivima s područja Republike Hrvatske.</w:t>
            </w:r>
          </w:p>
        </w:tc>
      </w:tr>
    </w:tbl>
    <w:p w14:paraId="62F9BC96" w14:textId="77777777" w:rsidR="00A109F1" w:rsidRPr="00A109F1" w:rsidRDefault="00A109F1" w:rsidP="00A109F1">
      <w:pPr>
        <w:spacing w:after="0" w:line="240" w:lineRule="auto"/>
        <w:rPr>
          <w:rFonts w:cstheme="minorHAnsi"/>
        </w:rPr>
      </w:pPr>
    </w:p>
    <w:p w14:paraId="21C4A906" w14:textId="77777777" w:rsidR="00A109F1" w:rsidRPr="00A109F1" w:rsidRDefault="00A109F1" w:rsidP="00A109F1">
      <w:pPr>
        <w:spacing w:after="0" w:line="240" w:lineRule="auto"/>
        <w:rPr>
          <w:rFonts w:cstheme="minorHAnsi"/>
        </w:rPr>
      </w:pPr>
    </w:p>
    <w:p w14:paraId="10951F8D" w14:textId="77777777" w:rsidR="00A109F1" w:rsidRPr="00A109F1" w:rsidRDefault="00A109F1" w:rsidP="00A109F1">
      <w:pPr>
        <w:spacing w:after="0" w:line="240" w:lineRule="auto"/>
        <w:rPr>
          <w:rFonts w:cstheme="minorHAnsi"/>
        </w:rPr>
      </w:pPr>
    </w:p>
    <w:tbl>
      <w:tblPr>
        <w:tblW w:w="9165" w:type="dxa"/>
        <w:tblInd w:w="-5" w:type="dxa"/>
        <w:tblLook w:val="04A0" w:firstRow="1" w:lastRow="0" w:firstColumn="1" w:lastColumn="0" w:noHBand="0" w:noVBand="1"/>
      </w:tblPr>
      <w:tblGrid>
        <w:gridCol w:w="1018"/>
        <w:gridCol w:w="1018"/>
        <w:gridCol w:w="1017"/>
        <w:gridCol w:w="1018"/>
        <w:gridCol w:w="1019"/>
        <w:gridCol w:w="1019"/>
        <w:gridCol w:w="1019"/>
        <w:gridCol w:w="1019"/>
        <w:gridCol w:w="1018"/>
      </w:tblGrid>
      <w:tr w:rsidR="00A109F1" w:rsidRPr="00A109F1" w14:paraId="7C5EFDE4" w14:textId="77777777" w:rsidTr="00A109F1">
        <w:trPr>
          <w:trHeight w:val="499"/>
        </w:trPr>
        <w:tc>
          <w:tcPr>
            <w:tcW w:w="7125"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43E82BEE" w14:textId="70C05BD2"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Predviđen</w:t>
            </w:r>
            <w:r w:rsidR="00F6714E">
              <w:rPr>
                <w:rFonts w:eastAsia="Times New Roman" w:cstheme="minorHAnsi"/>
                <w:lang w:eastAsia="hr-HR"/>
              </w:rPr>
              <w:t>i višak/manjak po završetku 202</w:t>
            </w:r>
            <w:r w:rsidR="007F073E">
              <w:rPr>
                <w:rFonts w:eastAsia="Times New Roman" w:cstheme="minorHAnsi"/>
                <w:lang w:eastAsia="hr-HR"/>
              </w:rPr>
              <w:t>2</w:t>
            </w:r>
            <w:r w:rsidRPr="004479EE">
              <w:rPr>
                <w:rFonts w:eastAsia="Times New Roman" w:cstheme="minorHAnsi"/>
                <w:lang w:eastAsia="hr-HR"/>
              </w:rPr>
              <w:t>. godine (kumulirani)</w:t>
            </w:r>
          </w:p>
        </w:tc>
        <w:tc>
          <w:tcPr>
            <w:tcW w:w="20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EA1CC8" w14:textId="77777777" w:rsidR="00A109F1" w:rsidRPr="004479EE" w:rsidRDefault="00A109F1" w:rsidP="00A109F1">
            <w:pPr>
              <w:spacing w:after="0" w:line="240" w:lineRule="auto"/>
              <w:jc w:val="right"/>
              <w:rPr>
                <w:rFonts w:eastAsia="Times New Roman" w:cstheme="minorHAnsi"/>
                <w:b/>
                <w:bCs/>
                <w:lang w:eastAsia="hr-HR"/>
              </w:rPr>
            </w:pPr>
            <w:r w:rsidRPr="004479EE">
              <w:rPr>
                <w:rFonts w:eastAsia="Times New Roman" w:cstheme="minorHAnsi"/>
                <w:b/>
                <w:bCs/>
                <w:lang w:eastAsia="hr-HR"/>
              </w:rPr>
              <w:t> </w:t>
            </w:r>
          </w:p>
        </w:tc>
      </w:tr>
      <w:tr w:rsidR="00A109F1" w:rsidRPr="00A109F1" w14:paraId="172BAA34" w14:textId="77777777" w:rsidTr="00A109F1">
        <w:trPr>
          <w:trHeight w:val="499"/>
        </w:trPr>
        <w:tc>
          <w:tcPr>
            <w:tcW w:w="7125"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633F20D7" w14:textId="77777777"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(manjak upisati s predznakom minus)</w:t>
            </w:r>
          </w:p>
        </w:tc>
        <w:tc>
          <w:tcPr>
            <w:tcW w:w="2035" w:type="dxa"/>
            <w:gridSpan w:val="2"/>
            <w:vMerge/>
            <w:tcBorders>
              <w:top w:val="single" w:sz="4" w:space="0" w:color="auto"/>
              <w:left w:val="single" w:sz="4" w:space="0" w:color="auto"/>
              <w:bottom w:val="single" w:sz="4" w:space="0" w:color="000000"/>
              <w:right w:val="single" w:sz="4" w:space="0" w:color="000000"/>
            </w:tcBorders>
            <w:vAlign w:val="center"/>
            <w:hideMark/>
          </w:tcPr>
          <w:p w14:paraId="07DBD29E" w14:textId="77777777" w:rsidR="00A109F1" w:rsidRPr="004479EE" w:rsidRDefault="00A109F1" w:rsidP="00A109F1">
            <w:pPr>
              <w:spacing w:after="0" w:line="240" w:lineRule="auto"/>
              <w:rPr>
                <w:rFonts w:eastAsia="Times New Roman" w:cstheme="minorHAnsi"/>
                <w:b/>
                <w:bCs/>
                <w:lang w:eastAsia="hr-HR"/>
              </w:rPr>
            </w:pPr>
          </w:p>
        </w:tc>
      </w:tr>
      <w:tr w:rsidR="00A109F1" w:rsidRPr="00A109F1" w14:paraId="4DE99075" w14:textId="77777777" w:rsidTr="00A109F1">
        <w:trPr>
          <w:gridAfter w:val="1"/>
          <w:wAfter w:w="1017" w:type="dxa"/>
          <w:trHeight w:val="402"/>
        </w:trPr>
        <w:tc>
          <w:tcPr>
            <w:tcW w:w="1018" w:type="dxa"/>
            <w:tcBorders>
              <w:top w:val="nil"/>
              <w:left w:val="nil"/>
              <w:bottom w:val="nil"/>
              <w:right w:val="nil"/>
            </w:tcBorders>
            <w:shd w:val="clear" w:color="auto" w:fill="auto"/>
            <w:noWrap/>
            <w:vAlign w:val="center"/>
            <w:hideMark/>
          </w:tcPr>
          <w:p w14:paraId="012D4637" w14:textId="77777777" w:rsidR="00A109F1" w:rsidRPr="004479EE" w:rsidRDefault="00A109F1" w:rsidP="00A109F1">
            <w:pPr>
              <w:spacing w:after="0" w:line="240" w:lineRule="auto"/>
              <w:jc w:val="center"/>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40EB5DBC" w14:textId="77777777" w:rsidR="00A109F1" w:rsidRPr="004479EE" w:rsidRDefault="00A109F1" w:rsidP="00A109F1">
            <w:pPr>
              <w:spacing w:after="0" w:line="240" w:lineRule="auto"/>
              <w:jc w:val="center"/>
              <w:rPr>
                <w:rFonts w:eastAsia="Times New Roman" w:cstheme="minorHAnsi"/>
                <w:lang w:eastAsia="hr-HR"/>
              </w:rPr>
            </w:pPr>
          </w:p>
        </w:tc>
        <w:tc>
          <w:tcPr>
            <w:tcW w:w="1017" w:type="dxa"/>
            <w:tcBorders>
              <w:top w:val="nil"/>
              <w:left w:val="nil"/>
              <w:bottom w:val="nil"/>
              <w:right w:val="nil"/>
            </w:tcBorders>
            <w:shd w:val="clear" w:color="auto" w:fill="auto"/>
            <w:noWrap/>
            <w:vAlign w:val="center"/>
            <w:hideMark/>
          </w:tcPr>
          <w:p w14:paraId="2077C027"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2D1368B8"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5CA5186F"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44A74000"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5F4F2C7F"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7B6ADE92" w14:textId="77777777" w:rsidR="00A109F1" w:rsidRPr="004479EE" w:rsidRDefault="00A109F1" w:rsidP="00A109F1">
            <w:pPr>
              <w:spacing w:after="0" w:line="240" w:lineRule="auto"/>
              <w:rPr>
                <w:rFonts w:eastAsia="Times New Roman" w:cstheme="minorHAnsi"/>
                <w:lang w:eastAsia="hr-HR"/>
              </w:rPr>
            </w:pPr>
          </w:p>
        </w:tc>
      </w:tr>
      <w:tr w:rsidR="00A109F1" w:rsidRPr="004479EE" w14:paraId="6285FD7E" w14:textId="77777777" w:rsidTr="00A109F1">
        <w:trPr>
          <w:trHeight w:val="799"/>
        </w:trPr>
        <w:tc>
          <w:tcPr>
            <w:tcW w:w="1018" w:type="dxa"/>
            <w:tcBorders>
              <w:top w:val="nil"/>
              <w:left w:val="nil"/>
              <w:bottom w:val="nil"/>
              <w:right w:val="nil"/>
            </w:tcBorders>
            <w:shd w:val="clear" w:color="auto" w:fill="auto"/>
            <w:noWrap/>
            <w:vAlign w:val="center"/>
            <w:hideMark/>
          </w:tcPr>
          <w:p w14:paraId="1457B771"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042522DA" w14:textId="77777777" w:rsidR="00A109F1" w:rsidRPr="004479EE" w:rsidRDefault="00A109F1" w:rsidP="00A109F1">
            <w:pPr>
              <w:spacing w:after="0" w:line="240" w:lineRule="auto"/>
              <w:jc w:val="center"/>
              <w:rPr>
                <w:rFonts w:eastAsia="Times New Roman" w:cstheme="minorHAnsi"/>
                <w:lang w:eastAsia="hr-HR"/>
              </w:rPr>
            </w:pPr>
          </w:p>
        </w:tc>
        <w:tc>
          <w:tcPr>
            <w:tcW w:w="1017" w:type="dxa"/>
            <w:tcBorders>
              <w:top w:val="nil"/>
              <w:left w:val="nil"/>
              <w:bottom w:val="nil"/>
              <w:right w:val="nil"/>
            </w:tcBorders>
            <w:shd w:val="clear" w:color="auto" w:fill="auto"/>
            <w:noWrap/>
            <w:vAlign w:val="bottom"/>
            <w:hideMark/>
          </w:tcPr>
          <w:p w14:paraId="1FB6AC89"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3E05C51C" w14:textId="77777777" w:rsidR="00A109F1" w:rsidRPr="004479EE" w:rsidRDefault="00A109F1" w:rsidP="00A109F1">
            <w:pPr>
              <w:spacing w:after="0" w:line="240" w:lineRule="auto"/>
              <w:rPr>
                <w:rFonts w:eastAsia="Times New Roman" w:cstheme="minorHAnsi"/>
                <w:lang w:eastAsia="hr-HR"/>
              </w:rPr>
            </w:pPr>
          </w:p>
        </w:tc>
        <w:tc>
          <w:tcPr>
            <w:tcW w:w="3054" w:type="dxa"/>
            <w:gridSpan w:val="3"/>
            <w:tcBorders>
              <w:top w:val="nil"/>
              <w:left w:val="nil"/>
              <w:bottom w:val="nil"/>
              <w:right w:val="nil"/>
            </w:tcBorders>
            <w:shd w:val="clear" w:color="auto" w:fill="auto"/>
            <w:noWrap/>
            <w:vAlign w:val="bottom"/>
            <w:hideMark/>
          </w:tcPr>
          <w:p w14:paraId="7E6785A1" w14:textId="77777777"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Datum:</w:t>
            </w:r>
          </w:p>
        </w:tc>
        <w:tc>
          <w:tcPr>
            <w:tcW w:w="2035" w:type="dxa"/>
            <w:gridSpan w:val="2"/>
            <w:tcBorders>
              <w:top w:val="nil"/>
              <w:left w:val="nil"/>
              <w:bottom w:val="single" w:sz="4" w:space="0" w:color="auto"/>
              <w:right w:val="nil"/>
            </w:tcBorders>
            <w:shd w:val="clear" w:color="auto" w:fill="auto"/>
            <w:noWrap/>
            <w:vAlign w:val="center"/>
            <w:hideMark/>
          </w:tcPr>
          <w:p w14:paraId="647E761C" w14:textId="12187CED" w:rsidR="00A109F1" w:rsidRPr="004479EE" w:rsidRDefault="00DC2F2C" w:rsidP="00A109F1">
            <w:pPr>
              <w:spacing w:after="0" w:line="240" w:lineRule="auto"/>
              <w:jc w:val="center"/>
              <w:rPr>
                <w:rFonts w:eastAsia="Times New Roman" w:cstheme="minorHAnsi"/>
                <w:lang w:eastAsia="hr-HR"/>
              </w:rPr>
            </w:pPr>
            <w:r>
              <w:rPr>
                <w:rFonts w:eastAsia="Times New Roman" w:cstheme="minorHAnsi"/>
                <w:lang w:eastAsia="hr-HR"/>
              </w:rPr>
              <w:t>5.10.2022.</w:t>
            </w:r>
          </w:p>
        </w:tc>
      </w:tr>
      <w:tr w:rsidR="00A109F1" w:rsidRPr="004479EE" w14:paraId="49A26489" w14:textId="77777777" w:rsidTr="00A109F1">
        <w:trPr>
          <w:trHeight w:val="402"/>
        </w:trPr>
        <w:tc>
          <w:tcPr>
            <w:tcW w:w="1018" w:type="dxa"/>
            <w:tcBorders>
              <w:top w:val="nil"/>
              <w:left w:val="nil"/>
              <w:bottom w:val="nil"/>
              <w:right w:val="nil"/>
            </w:tcBorders>
            <w:shd w:val="clear" w:color="auto" w:fill="auto"/>
            <w:noWrap/>
            <w:vAlign w:val="center"/>
            <w:hideMark/>
          </w:tcPr>
          <w:p w14:paraId="495AA523" w14:textId="77777777" w:rsidR="00A109F1" w:rsidRPr="004479EE" w:rsidRDefault="00A109F1" w:rsidP="00A109F1">
            <w:pPr>
              <w:spacing w:after="0" w:line="240" w:lineRule="auto"/>
              <w:jc w:val="center"/>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357E0BCD" w14:textId="77777777" w:rsidR="00A109F1" w:rsidRPr="004479EE" w:rsidRDefault="00A109F1" w:rsidP="00A109F1">
            <w:pPr>
              <w:spacing w:after="0" w:line="240" w:lineRule="auto"/>
              <w:jc w:val="center"/>
              <w:rPr>
                <w:rFonts w:eastAsia="Times New Roman" w:cstheme="minorHAnsi"/>
                <w:lang w:eastAsia="hr-HR"/>
              </w:rPr>
            </w:pPr>
          </w:p>
        </w:tc>
        <w:tc>
          <w:tcPr>
            <w:tcW w:w="1017" w:type="dxa"/>
            <w:tcBorders>
              <w:top w:val="nil"/>
              <w:left w:val="nil"/>
              <w:bottom w:val="nil"/>
              <w:right w:val="nil"/>
            </w:tcBorders>
            <w:shd w:val="clear" w:color="auto" w:fill="auto"/>
            <w:noWrap/>
            <w:vAlign w:val="center"/>
            <w:hideMark/>
          </w:tcPr>
          <w:p w14:paraId="3F979A61"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360A4C16"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4415C175"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11AB7AB3"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7A8EECA8"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5819DBBF" w14:textId="77777777" w:rsidR="00A109F1" w:rsidRPr="004479EE" w:rsidRDefault="00A109F1" w:rsidP="00A109F1">
            <w:pPr>
              <w:spacing w:after="0" w:line="240" w:lineRule="auto"/>
              <w:rPr>
                <w:rFonts w:eastAsia="Times New Roman" w:cstheme="minorHAnsi"/>
                <w:lang w:eastAsia="hr-HR"/>
              </w:rPr>
            </w:pPr>
          </w:p>
        </w:tc>
        <w:tc>
          <w:tcPr>
            <w:tcW w:w="1017" w:type="dxa"/>
            <w:tcBorders>
              <w:top w:val="nil"/>
              <w:left w:val="nil"/>
              <w:bottom w:val="nil"/>
              <w:right w:val="nil"/>
            </w:tcBorders>
            <w:shd w:val="clear" w:color="auto" w:fill="auto"/>
            <w:noWrap/>
            <w:vAlign w:val="center"/>
            <w:hideMark/>
          </w:tcPr>
          <w:p w14:paraId="73100BD2" w14:textId="77777777" w:rsidR="00A109F1" w:rsidRPr="004479EE" w:rsidRDefault="00A109F1" w:rsidP="00A109F1">
            <w:pPr>
              <w:spacing w:after="0" w:line="240" w:lineRule="auto"/>
              <w:rPr>
                <w:rFonts w:eastAsia="Times New Roman" w:cstheme="minorHAnsi"/>
                <w:lang w:eastAsia="hr-HR"/>
              </w:rPr>
            </w:pPr>
          </w:p>
        </w:tc>
      </w:tr>
      <w:tr w:rsidR="00A109F1" w:rsidRPr="004479EE" w14:paraId="6AE77FD7" w14:textId="77777777" w:rsidTr="00A109F1">
        <w:trPr>
          <w:trHeight w:val="799"/>
        </w:trPr>
        <w:tc>
          <w:tcPr>
            <w:tcW w:w="1018" w:type="dxa"/>
            <w:tcBorders>
              <w:top w:val="nil"/>
              <w:left w:val="nil"/>
              <w:bottom w:val="nil"/>
              <w:right w:val="nil"/>
            </w:tcBorders>
            <w:shd w:val="clear" w:color="auto" w:fill="auto"/>
            <w:noWrap/>
            <w:vAlign w:val="center"/>
            <w:hideMark/>
          </w:tcPr>
          <w:p w14:paraId="75F7AF50" w14:textId="77777777" w:rsidR="00A109F1" w:rsidRPr="004479EE" w:rsidRDefault="00A109F1" w:rsidP="00A109F1">
            <w:pPr>
              <w:spacing w:after="0" w:line="240" w:lineRule="auto"/>
              <w:rPr>
                <w:rFonts w:eastAsia="Times New Roman" w:cstheme="minorHAnsi"/>
                <w:lang w:eastAsia="hr-HR"/>
              </w:rPr>
            </w:pPr>
          </w:p>
        </w:tc>
        <w:tc>
          <w:tcPr>
            <w:tcW w:w="3053" w:type="dxa"/>
            <w:gridSpan w:val="3"/>
            <w:tcBorders>
              <w:top w:val="nil"/>
              <w:left w:val="nil"/>
              <w:bottom w:val="nil"/>
              <w:right w:val="nil"/>
            </w:tcBorders>
            <w:shd w:val="clear" w:color="auto" w:fill="auto"/>
            <w:noWrap/>
            <w:vAlign w:val="bottom"/>
            <w:hideMark/>
          </w:tcPr>
          <w:p w14:paraId="3A0D7E35" w14:textId="77777777"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Voditelj računovodstva:</w:t>
            </w:r>
          </w:p>
        </w:tc>
        <w:tc>
          <w:tcPr>
            <w:tcW w:w="3054" w:type="dxa"/>
            <w:gridSpan w:val="3"/>
            <w:tcBorders>
              <w:top w:val="nil"/>
              <w:left w:val="nil"/>
              <w:bottom w:val="nil"/>
              <w:right w:val="nil"/>
            </w:tcBorders>
            <w:shd w:val="clear" w:color="auto" w:fill="auto"/>
            <w:noWrap/>
            <w:vAlign w:val="bottom"/>
            <w:hideMark/>
          </w:tcPr>
          <w:p w14:paraId="32AF91B2" w14:textId="7706F552" w:rsidR="00A109F1" w:rsidRPr="004479EE" w:rsidRDefault="00484A02" w:rsidP="00A109F1">
            <w:pPr>
              <w:spacing w:after="0" w:line="240" w:lineRule="auto"/>
              <w:jc w:val="center"/>
              <w:rPr>
                <w:rFonts w:eastAsia="Times New Roman" w:cstheme="minorHAnsi"/>
                <w:color w:val="FF0000"/>
                <w:lang w:eastAsia="hr-HR"/>
              </w:rPr>
            </w:pPr>
            <w:r w:rsidRPr="00BC6DA2">
              <w:rPr>
                <w:rFonts w:eastAsia="Times New Roman" w:cstheme="minorHAnsi"/>
                <w:color w:val="000000" w:themeColor="text1"/>
                <w:lang w:eastAsia="hr-HR"/>
              </w:rPr>
              <w:t>Andreja Jandroković</w:t>
            </w:r>
          </w:p>
        </w:tc>
        <w:tc>
          <w:tcPr>
            <w:tcW w:w="2035" w:type="dxa"/>
            <w:gridSpan w:val="2"/>
            <w:tcBorders>
              <w:top w:val="nil"/>
              <w:left w:val="nil"/>
              <w:bottom w:val="single" w:sz="4" w:space="0" w:color="auto"/>
              <w:right w:val="nil"/>
            </w:tcBorders>
            <w:shd w:val="clear" w:color="auto" w:fill="auto"/>
            <w:noWrap/>
            <w:vAlign w:val="center"/>
            <w:hideMark/>
          </w:tcPr>
          <w:p w14:paraId="1475165C" w14:textId="77777777"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 </w:t>
            </w:r>
          </w:p>
        </w:tc>
      </w:tr>
      <w:tr w:rsidR="00A109F1" w:rsidRPr="004479EE" w14:paraId="705647C7" w14:textId="77777777" w:rsidTr="00A109F1">
        <w:trPr>
          <w:trHeight w:val="402"/>
        </w:trPr>
        <w:tc>
          <w:tcPr>
            <w:tcW w:w="1018" w:type="dxa"/>
            <w:tcBorders>
              <w:top w:val="nil"/>
              <w:left w:val="nil"/>
              <w:bottom w:val="nil"/>
              <w:right w:val="nil"/>
            </w:tcBorders>
            <w:shd w:val="clear" w:color="auto" w:fill="auto"/>
            <w:noWrap/>
            <w:vAlign w:val="center"/>
            <w:hideMark/>
          </w:tcPr>
          <w:p w14:paraId="4E2052B1" w14:textId="77777777" w:rsidR="00A109F1" w:rsidRPr="004479EE" w:rsidRDefault="00A109F1" w:rsidP="00A109F1">
            <w:pPr>
              <w:spacing w:after="0" w:line="240" w:lineRule="auto"/>
              <w:jc w:val="center"/>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4911263E" w14:textId="77777777" w:rsidR="00A109F1" w:rsidRPr="004479EE" w:rsidRDefault="00A109F1" w:rsidP="00A109F1">
            <w:pPr>
              <w:spacing w:after="0" w:line="240" w:lineRule="auto"/>
              <w:jc w:val="center"/>
              <w:rPr>
                <w:rFonts w:eastAsia="Times New Roman" w:cstheme="minorHAnsi"/>
                <w:lang w:eastAsia="hr-HR"/>
              </w:rPr>
            </w:pPr>
          </w:p>
        </w:tc>
        <w:tc>
          <w:tcPr>
            <w:tcW w:w="1017" w:type="dxa"/>
            <w:tcBorders>
              <w:top w:val="nil"/>
              <w:left w:val="nil"/>
              <w:bottom w:val="nil"/>
              <w:right w:val="nil"/>
            </w:tcBorders>
            <w:shd w:val="clear" w:color="auto" w:fill="auto"/>
            <w:noWrap/>
            <w:vAlign w:val="bottom"/>
            <w:hideMark/>
          </w:tcPr>
          <w:p w14:paraId="31F4FF7A"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1EF9B4D4"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6C9AE3C2"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0D2072E7"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bottom"/>
            <w:hideMark/>
          </w:tcPr>
          <w:p w14:paraId="30E4D146" w14:textId="77777777" w:rsidR="00A109F1" w:rsidRPr="004479EE" w:rsidRDefault="00A109F1" w:rsidP="00A109F1">
            <w:pPr>
              <w:spacing w:after="0" w:line="240" w:lineRule="auto"/>
              <w:rPr>
                <w:rFonts w:eastAsia="Times New Roman" w:cstheme="minorHAnsi"/>
                <w:lang w:eastAsia="hr-HR"/>
              </w:rPr>
            </w:pPr>
          </w:p>
        </w:tc>
        <w:tc>
          <w:tcPr>
            <w:tcW w:w="1018" w:type="dxa"/>
            <w:tcBorders>
              <w:top w:val="nil"/>
              <w:left w:val="nil"/>
              <w:bottom w:val="nil"/>
              <w:right w:val="nil"/>
            </w:tcBorders>
            <w:shd w:val="clear" w:color="auto" w:fill="auto"/>
            <w:noWrap/>
            <w:vAlign w:val="center"/>
            <w:hideMark/>
          </w:tcPr>
          <w:p w14:paraId="553D3D99" w14:textId="77777777" w:rsidR="00A109F1" w:rsidRPr="004479EE" w:rsidRDefault="00A109F1" w:rsidP="00A109F1">
            <w:pPr>
              <w:spacing w:after="0" w:line="240" w:lineRule="auto"/>
              <w:rPr>
                <w:rFonts w:eastAsia="Times New Roman" w:cstheme="minorHAnsi"/>
                <w:lang w:eastAsia="hr-HR"/>
              </w:rPr>
            </w:pPr>
          </w:p>
        </w:tc>
        <w:tc>
          <w:tcPr>
            <w:tcW w:w="1017" w:type="dxa"/>
            <w:tcBorders>
              <w:top w:val="nil"/>
              <w:left w:val="nil"/>
              <w:bottom w:val="nil"/>
              <w:right w:val="nil"/>
            </w:tcBorders>
            <w:shd w:val="clear" w:color="auto" w:fill="auto"/>
            <w:noWrap/>
            <w:vAlign w:val="center"/>
            <w:hideMark/>
          </w:tcPr>
          <w:p w14:paraId="29710840" w14:textId="77777777" w:rsidR="00A109F1" w:rsidRPr="004479EE" w:rsidRDefault="00A109F1" w:rsidP="00A109F1">
            <w:pPr>
              <w:spacing w:after="0" w:line="240" w:lineRule="auto"/>
              <w:rPr>
                <w:rFonts w:eastAsia="Times New Roman" w:cstheme="minorHAnsi"/>
                <w:lang w:eastAsia="hr-HR"/>
              </w:rPr>
            </w:pPr>
          </w:p>
        </w:tc>
      </w:tr>
      <w:tr w:rsidR="00A109F1" w:rsidRPr="004479EE" w14:paraId="5A61441C" w14:textId="77777777" w:rsidTr="00A109F1">
        <w:trPr>
          <w:trHeight w:val="799"/>
        </w:trPr>
        <w:tc>
          <w:tcPr>
            <w:tcW w:w="1018" w:type="dxa"/>
            <w:tcBorders>
              <w:top w:val="nil"/>
              <w:left w:val="nil"/>
              <w:bottom w:val="nil"/>
              <w:right w:val="nil"/>
            </w:tcBorders>
            <w:shd w:val="clear" w:color="auto" w:fill="auto"/>
            <w:noWrap/>
            <w:vAlign w:val="center"/>
            <w:hideMark/>
          </w:tcPr>
          <w:p w14:paraId="390C96E7" w14:textId="77777777" w:rsidR="00A109F1" w:rsidRPr="004479EE" w:rsidRDefault="00A109F1" w:rsidP="00A109F1">
            <w:pPr>
              <w:spacing w:after="0" w:line="240" w:lineRule="auto"/>
              <w:rPr>
                <w:rFonts w:eastAsia="Times New Roman" w:cstheme="minorHAnsi"/>
                <w:lang w:eastAsia="hr-HR"/>
              </w:rPr>
            </w:pPr>
          </w:p>
        </w:tc>
        <w:tc>
          <w:tcPr>
            <w:tcW w:w="3053" w:type="dxa"/>
            <w:gridSpan w:val="3"/>
            <w:tcBorders>
              <w:top w:val="nil"/>
              <w:left w:val="nil"/>
              <w:bottom w:val="nil"/>
              <w:right w:val="nil"/>
            </w:tcBorders>
            <w:shd w:val="clear" w:color="auto" w:fill="auto"/>
            <w:noWrap/>
            <w:vAlign w:val="bottom"/>
            <w:hideMark/>
          </w:tcPr>
          <w:p w14:paraId="3305EE44" w14:textId="77777777" w:rsidR="00A109F1" w:rsidRPr="004479EE" w:rsidRDefault="00A109F1" w:rsidP="00A109F1">
            <w:pPr>
              <w:spacing w:after="0" w:line="240" w:lineRule="auto"/>
              <w:jc w:val="center"/>
              <w:rPr>
                <w:rFonts w:eastAsia="Times New Roman" w:cstheme="minorHAnsi"/>
                <w:lang w:eastAsia="hr-HR"/>
              </w:rPr>
            </w:pPr>
            <w:r w:rsidRPr="004479EE">
              <w:rPr>
                <w:rFonts w:eastAsia="Times New Roman" w:cstheme="minorHAnsi"/>
                <w:lang w:eastAsia="hr-HR"/>
              </w:rPr>
              <w:t>Odgovorna osoba:</w:t>
            </w:r>
          </w:p>
        </w:tc>
        <w:tc>
          <w:tcPr>
            <w:tcW w:w="3054" w:type="dxa"/>
            <w:gridSpan w:val="3"/>
            <w:tcBorders>
              <w:top w:val="nil"/>
              <w:left w:val="nil"/>
              <w:bottom w:val="nil"/>
              <w:right w:val="nil"/>
            </w:tcBorders>
            <w:shd w:val="clear" w:color="auto" w:fill="auto"/>
            <w:noWrap/>
            <w:vAlign w:val="bottom"/>
            <w:hideMark/>
          </w:tcPr>
          <w:p w14:paraId="05927216" w14:textId="4BDA1799" w:rsidR="00A109F1" w:rsidRPr="004479EE" w:rsidRDefault="00BC6DA2" w:rsidP="00A109F1">
            <w:pPr>
              <w:spacing w:after="0" w:line="240" w:lineRule="auto"/>
              <w:jc w:val="center"/>
              <w:rPr>
                <w:rFonts w:eastAsia="Times New Roman" w:cstheme="minorHAnsi"/>
                <w:color w:val="FF0000"/>
                <w:lang w:eastAsia="hr-HR"/>
              </w:rPr>
            </w:pPr>
            <w:r w:rsidRPr="00BC6DA2">
              <w:rPr>
                <w:rFonts w:eastAsia="Times New Roman" w:cstheme="minorHAnsi"/>
                <w:color w:val="000000" w:themeColor="text1"/>
                <w:lang w:eastAsia="hr-HR"/>
              </w:rPr>
              <w:t>Tomislav Bogdanović</w:t>
            </w:r>
          </w:p>
        </w:tc>
        <w:tc>
          <w:tcPr>
            <w:tcW w:w="2035" w:type="dxa"/>
            <w:gridSpan w:val="2"/>
            <w:tcBorders>
              <w:top w:val="nil"/>
              <w:left w:val="nil"/>
              <w:bottom w:val="single" w:sz="4" w:space="0" w:color="auto"/>
              <w:right w:val="nil"/>
            </w:tcBorders>
            <w:shd w:val="clear" w:color="auto" w:fill="auto"/>
            <w:noWrap/>
            <w:vAlign w:val="center"/>
            <w:hideMark/>
          </w:tcPr>
          <w:p w14:paraId="5E2F5F20" w14:textId="77777777" w:rsidR="00A109F1" w:rsidRPr="004479EE" w:rsidRDefault="00A109F1" w:rsidP="00A109F1">
            <w:pPr>
              <w:spacing w:after="0" w:line="240" w:lineRule="auto"/>
              <w:rPr>
                <w:rFonts w:eastAsia="Times New Roman" w:cstheme="minorHAnsi"/>
                <w:u w:val="single"/>
                <w:lang w:eastAsia="hr-HR"/>
              </w:rPr>
            </w:pPr>
          </w:p>
        </w:tc>
      </w:tr>
    </w:tbl>
    <w:p w14:paraId="607EDF2E" w14:textId="77777777" w:rsidR="00A109F1" w:rsidRPr="00A109F1" w:rsidRDefault="00A109F1" w:rsidP="00A109F1">
      <w:pPr>
        <w:spacing w:after="0" w:line="240" w:lineRule="auto"/>
        <w:rPr>
          <w:rFonts w:cstheme="minorHAnsi"/>
        </w:rPr>
      </w:pPr>
    </w:p>
    <w:p w14:paraId="7E44CEF5" w14:textId="77777777" w:rsidR="00A109F1" w:rsidRPr="00A109F1" w:rsidRDefault="00A109F1" w:rsidP="00A109F1">
      <w:pPr>
        <w:spacing w:after="0" w:line="240" w:lineRule="auto"/>
        <w:rPr>
          <w:rFonts w:cstheme="minorHAnsi"/>
        </w:rPr>
      </w:pPr>
    </w:p>
    <w:sectPr w:rsidR="00A109F1" w:rsidRPr="00A1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F1"/>
    <w:rsid w:val="00064992"/>
    <w:rsid w:val="001359B1"/>
    <w:rsid w:val="001B3DD9"/>
    <w:rsid w:val="001F4B94"/>
    <w:rsid w:val="00272400"/>
    <w:rsid w:val="00277723"/>
    <w:rsid w:val="002E5EA3"/>
    <w:rsid w:val="00302AC3"/>
    <w:rsid w:val="00350774"/>
    <w:rsid w:val="00374F16"/>
    <w:rsid w:val="003A0FBF"/>
    <w:rsid w:val="003B1F03"/>
    <w:rsid w:val="00401460"/>
    <w:rsid w:val="00484A02"/>
    <w:rsid w:val="005735D6"/>
    <w:rsid w:val="005D1471"/>
    <w:rsid w:val="005E6A87"/>
    <w:rsid w:val="00654C7D"/>
    <w:rsid w:val="007F073E"/>
    <w:rsid w:val="00825FA9"/>
    <w:rsid w:val="00857B37"/>
    <w:rsid w:val="008A6909"/>
    <w:rsid w:val="008C12A4"/>
    <w:rsid w:val="009A3F4E"/>
    <w:rsid w:val="009F19A0"/>
    <w:rsid w:val="00A109F1"/>
    <w:rsid w:val="00A1567B"/>
    <w:rsid w:val="00A1636E"/>
    <w:rsid w:val="00AE7726"/>
    <w:rsid w:val="00AF5777"/>
    <w:rsid w:val="00BC6DA2"/>
    <w:rsid w:val="00D96F91"/>
    <w:rsid w:val="00DC2F2C"/>
    <w:rsid w:val="00EC1629"/>
    <w:rsid w:val="00ED5D73"/>
    <w:rsid w:val="00F6714E"/>
    <w:rsid w:val="00F94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817"/>
  <w15:chartTrackingRefBased/>
  <w15:docId w15:val="{58945DC7-5237-4E08-A68B-624BFCA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2">
    <w:name w:val="Odlomak popisa2"/>
    <w:basedOn w:val="Normal"/>
    <w:uiPriority w:val="34"/>
    <w:qFormat/>
    <w:rsid w:val="00F9425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4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50F5-E29D-4CE6-A140-808CE72A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1399</Words>
  <Characters>7979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Podolski Marija</dc:creator>
  <cp:keywords/>
  <dc:description/>
  <cp:lastModifiedBy>Andreja Jandroković</cp:lastModifiedBy>
  <cp:revision>9</cp:revision>
  <cp:lastPrinted>2022-11-21T07:12:00Z</cp:lastPrinted>
  <dcterms:created xsi:type="dcterms:W3CDTF">2022-09-26T07:55:00Z</dcterms:created>
  <dcterms:modified xsi:type="dcterms:W3CDTF">2022-11-21T07:16:00Z</dcterms:modified>
</cp:coreProperties>
</file>